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hint="eastAsia" w:ascii="方正黑体简体" w:hAnsi="方正黑体简体" w:eastAsia="方正黑体简体" w:cs="方正黑体简体"/>
          <w:b/>
          <w:bCs/>
          <w:sz w:val="32"/>
          <w:szCs w:val="32"/>
          <w:lang w:val="en-US" w:eastAsia="zh-CN"/>
        </w:rPr>
      </w:pPr>
      <w:r>
        <w:rPr>
          <w:rFonts w:hint="eastAsia" w:ascii="方正黑体简体" w:hAnsi="方正黑体简体" w:eastAsia="方正黑体简体" w:cs="方正黑体简体"/>
          <w:b/>
          <w:bCs/>
          <w:sz w:val="32"/>
          <w:szCs w:val="32"/>
          <w:lang w:val="en-US" w:eastAsia="zh-CN"/>
        </w:rPr>
        <w:t>附件2</w:t>
      </w:r>
    </w:p>
    <w:p>
      <w:pPr>
        <w:spacing w:line="360" w:lineRule="auto"/>
        <w:jc w:val="center"/>
        <w:rPr>
          <w:rFonts w:ascii="Times New Roman" w:hAnsi="Times New Roman" w:eastAsia="黑体" w:cs="Times New Roman"/>
          <w:sz w:val="44"/>
        </w:rPr>
      </w:pPr>
    </w:p>
    <w:p>
      <w:pPr>
        <w:spacing w:line="360" w:lineRule="auto"/>
        <w:jc w:val="center"/>
        <w:rPr>
          <w:rFonts w:ascii="Times New Roman" w:hAnsi="Times New Roman" w:eastAsia="黑体" w:cs="Times New Roman"/>
          <w:sz w:val="44"/>
        </w:rPr>
      </w:pPr>
    </w:p>
    <w:p>
      <w:pPr>
        <w:spacing w:line="360" w:lineRule="auto"/>
        <w:jc w:val="center"/>
        <w:rPr>
          <w:rFonts w:ascii="Times New Roman" w:hAnsi="Times New Roman" w:eastAsia="黑体" w:cs="Times New Roman"/>
          <w:sz w:val="44"/>
        </w:rPr>
      </w:pPr>
    </w:p>
    <w:p>
      <w:pPr>
        <w:spacing w:line="360" w:lineRule="auto"/>
        <w:jc w:val="center"/>
        <w:rPr>
          <w:rFonts w:ascii="Times New Roman" w:hAnsi="Times New Roman" w:eastAsia="黑体" w:cs="Times New Roman"/>
          <w:sz w:val="44"/>
        </w:rPr>
      </w:pPr>
    </w:p>
    <w:p>
      <w:pPr>
        <w:tabs>
          <w:tab w:val="left" w:pos="8306"/>
        </w:tabs>
        <w:ind w:right="-58"/>
        <w:jc w:val="center"/>
        <w:rPr>
          <w:rFonts w:ascii="方正粗黑宋简体" w:hAnsi="方正粗黑宋简体" w:eastAsia="方正粗黑宋简体"/>
          <w:sz w:val="48"/>
          <w:szCs w:val="84"/>
        </w:rPr>
      </w:pPr>
      <w:r>
        <w:rPr>
          <w:rFonts w:hint="eastAsia" w:ascii="方正粗黑宋简体" w:hAnsi="方正粗黑宋简体" w:eastAsia="方正粗黑宋简体"/>
          <w:b/>
          <w:bCs/>
          <w:sz w:val="48"/>
          <w:szCs w:val="84"/>
        </w:rPr>
        <w:t>GeoEast软件产品经销协议</w:t>
      </w:r>
    </w:p>
    <w:p>
      <w:pPr>
        <w:tabs>
          <w:tab w:val="left" w:pos="8306"/>
        </w:tabs>
        <w:ind w:right="-58"/>
        <w:jc w:val="center"/>
        <w:rPr>
          <w:rFonts w:ascii="方正粗黑宋简体" w:hAnsi="方正粗黑宋简体" w:eastAsia="方正粗黑宋简体"/>
          <w:sz w:val="48"/>
          <w:szCs w:val="84"/>
        </w:rPr>
      </w:pPr>
    </w:p>
    <w:p>
      <w:pPr>
        <w:tabs>
          <w:tab w:val="left" w:pos="8306"/>
        </w:tabs>
        <w:ind w:right="-58"/>
        <w:jc w:val="center"/>
        <w:rPr>
          <w:rFonts w:ascii="方正粗黑宋简体" w:hAnsi="方正粗黑宋简体" w:eastAsia="方正粗黑宋简体"/>
          <w:sz w:val="48"/>
          <w:szCs w:val="84"/>
        </w:rPr>
      </w:pPr>
      <w:bookmarkStart w:id="0" w:name="_GoBack"/>
      <w:bookmarkEnd w:id="0"/>
    </w:p>
    <w:p>
      <w:pPr>
        <w:tabs>
          <w:tab w:val="left" w:pos="8306"/>
        </w:tabs>
        <w:ind w:right="-58"/>
        <w:jc w:val="center"/>
        <w:rPr>
          <w:rFonts w:ascii="方正粗黑宋简体" w:hAnsi="方正粗黑宋简体" w:eastAsia="方正粗黑宋简体"/>
          <w:sz w:val="48"/>
          <w:szCs w:val="84"/>
        </w:rPr>
      </w:pPr>
    </w:p>
    <w:p>
      <w:pPr>
        <w:tabs>
          <w:tab w:val="left" w:pos="8306"/>
        </w:tabs>
        <w:ind w:right="-58"/>
        <w:jc w:val="center"/>
        <w:rPr>
          <w:rFonts w:ascii="方正粗黑宋简体" w:hAnsi="方正粗黑宋简体" w:eastAsia="方正粗黑宋简体"/>
          <w:sz w:val="48"/>
          <w:szCs w:val="84"/>
        </w:rPr>
      </w:pPr>
    </w:p>
    <w:p>
      <w:pPr>
        <w:tabs>
          <w:tab w:val="left" w:pos="8306"/>
        </w:tabs>
        <w:ind w:right="-58"/>
        <w:jc w:val="center"/>
        <w:rPr>
          <w:rFonts w:ascii="方正粗黑宋简体" w:hAnsi="方正粗黑宋简体" w:eastAsia="方正粗黑宋简体"/>
          <w:sz w:val="48"/>
          <w:szCs w:val="84"/>
        </w:rPr>
      </w:pPr>
    </w:p>
    <w:p>
      <w:pPr>
        <w:tabs>
          <w:tab w:val="left" w:pos="8306"/>
        </w:tabs>
        <w:ind w:right="-58"/>
        <w:jc w:val="center"/>
        <w:rPr>
          <w:rFonts w:ascii="方正粗黑宋简体" w:hAnsi="方正粗黑宋简体" w:eastAsia="方正粗黑宋简体"/>
          <w:sz w:val="48"/>
          <w:szCs w:val="84"/>
        </w:rPr>
      </w:pPr>
    </w:p>
    <w:p>
      <w:pPr>
        <w:spacing w:line="600" w:lineRule="auto"/>
        <w:ind w:left="1006" w:leftChars="376" w:hanging="216" w:hangingChars="72"/>
        <w:rPr>
          <w:sz w:val="36"/>
        </w:rPr>
      </w:pPr>
      <w:r>
        <w:rPr>
          <w:rFonts w:hint="eastAsia" w:ascii="华文中宋" w:hAnsi="华文中宋" w:eastAsia="华文中宋"/>
          <w:sz w:val="30"/>
          <w:szCs w:val="30"/>
        </w:rPr>
        <w:t>甲方</w:t>
      </w:r>
      <w:r>
        <w:rPr>
          <w:rFonts w:hint="eastAsia"/>
          <w:sz w:val="36"/>
        </w:rPr>
        <w:t>：</w:t>
      </w:r>
      <w:r>
        <w:rPr>
          <w:sz w:val="36"/>
        </w:rPr>
        <w:t xml:space="preserve"> </w:t>
      </w:r>
    </w:p>
    <w:p>
      <w:pPr>
        <w:spacing w:line="600" w:lineRule="auto"/>
        <w:ind w:left="1006" w:leftChars="376" w:hanging="216" w:hangingChars="72"/>
        <w:rPr>
          <w:sz w:val="36"/>
          <w:u w:val="single"/>
        </w:rPr>
      </w:pPr>
      <w:r>
        <w:rPr>
          <w:rFonts w:hint="eastAsia" w:ascii="华文中宋" w:hAnsi="华文中宋" w:eastAsia="华文中宋"/>
          <w:sz w:val="30"/>
          <w:szCs w:val="30"/>
        </w:rPr>
        <w:t>乙方：</w:t>
      </w:r>
    </w:p>
    <w:p>
      <w:pPr>
        <w:spacing w:line="600" w:lineRule="auto"/>
        <w:ind w:left="1006" w:leftChars="376" w:hanging="216" w:hangingChars="72"/>
        <w:rPr>
          <w:sz w:val="36"/>
        </w:rPr>
        <w:sectPr>
          <w:footerReference r:id="rId3" w:type="default"/>
          <w:pgSz w:w="11906" w:h="16838"/>
          <w:pgMar w:top="1440" w:right="1800" w:bottom="1440" w:left="1800" w:header="851" w:footer="992" w:gutter="0"/>
          <w:cols w:space="425" w:num="1"/>
          <w:docGrid w:type="lines" w:linePitch="312" w:charSpace="0"/>
        </w:sectPr>
      </w:pPr>
      <w:r>
        <w:rPr>
          <w:rFonts w:hint="eastAsia" w:ascii="华文中宋" w:hAnsi="华文中宋" w:eastAsia="华文中宋"/>
          <w:sz w:val="30"/>
          <w:szCs w:val="30"/>
        </w:rPr>
        <w:t>签订日期：     年    月    日</w:t>
      </w:r>
    </w:p>
    <w:p>
      <w:pPr>
        <w:spacing w:after="120" w:line="300" w:lineRule="auto"/>
        <w:rPr>
          <w:rFonts w:ascii="Times New Roman" w:hAnsi="Times New Roman" w:eastAsia="宋体" w:cs="Times New Roman"/>
          <w:sz w:val="24"/>
        </w:rPr>
      </w:pPr>
    </w:p>
    <w:p>
      <w:pPr>
        <w:spacing w:after="120" w:line="30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甲方（厂商）</w:t>
      </w:r>
    </w:p>
    <w:p>
      <w:pPr>
        <w:spacing w:after="120" w:line="30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名称：中油油气勘探软件国家工程研究中心有限公司</w:t>
      </w:r>
    </w:p>
    <w:p>
      <w:pPr>
        <w:spacing w:after="120" w:line="30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统一社会信用代码：【 】</w:t>
      </w:r>
    </w:p>
    <w:p>
      <w:pPr>
        <w:spacing w:after="120" w:line="30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注册</w:t>
      </w:r>
      <w:r>
        <w:rPr>
          <w:rFonts w:ascii="Times New Roman" w:hAnsi="Times New Roman" w:eastAsia="宋体" w:cs="Times New Roman"/>
          <w:sz w:val="24"/>
        </w:rPr>
        <w:t>地：【 】</w:t>
      </w:r>
    </w:p>
    <w:p>
      <w:pPr>
        <w:spacing w:after="120" w:line="30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法定代表人：【 】</w:t>
      </w:r>
    </w:p>
    <w:p>
      <w:pPr>
        <w:spacing w:after="120" w:line="30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联系人：【 】</w:t>
      </w:r>
    </w:p>
    <w:p>
      <w:pPr>
        <w:spacing w:after="120" w:line="30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联系电话：【 】</w:t>
      </w:r>
    </w:p>
    <w:p>
      <w:pPr>
        <w:spacing w:after="120" w:line="300" w:lineRule="auto"/>
        <w:ind w:firstLine="480" w:firstLineChars="200"/>
        <w:rPr>
          <w:rFonts w:ascii="Times New Roman" w:hAnsi="Times New Roman" w:eastAsia="宋体" w:cs="Times New Roman"/>
          <w:sz w:val="24"/>
        </w:rPr>
      </w:pPr>
    </w:p>
    <w:p>
      <w:pPr>
        <w:spacing w:after="120" w:line="30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乙方（经销商）</w:t>
      </w:r>
    </w:p>
    <w:p>
      <w:pPr>
        <w:spacing w:after="120" w:line="30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名称：【 】</w:t>
      </w:r>
    </w:p>
    <w:p>
      <w:pPr>
        <w:spacing w:after="120" w:line="30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统一社会信用代码：【 】</w:t>
      </w:r>
    </w:p>
    <w:p>
      <w:pPr>
        <w:spacing w:after="120" w:line="30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注册</w:t>
      </w:r>
      <w:r>
        <w:rPr>
          <w:rFonts w:ascii="Times New Roman" w:hAnsi="Times New Roman" w:eastAsia="宋体" w:cs="Times New Roman"/>
          <w:sz w:val="24"/>
        </w:rPr>
        <w:t>地：【 】</w:t>
      </w:r>
    </w:p>
    <w:p>
      <w:pPr>
        <w:spacing w:after="120" w:line="30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法定代表人：【 】</w:t>
      </w:r>
    </w:p>
    <w:p>
      <w:pPr>
        <w:spacing w:after="120" w:line="30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联系人：【 】</w:t>
      </w:r>
    </w:p>
    <w:p>
      <w:pPr>
        <w:spacing w:after="120" w:line="30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联系电话：【 】</w:t>
      </w:r>
    </w:p>
    <w:p>
      <w:pPr>
        <w:rPr>
          <w:rFonts w:ascii="Times New Roman" w:hAnsi="Times New Roman" w:eastAsia="宋体" w:cs="Times New Roman"/>
          <w:sz w:val="24"/>
        </w:rPr>
        <w:sectPr>
          <w:footerReference r:id="rId4" w:type="default"/>
          <w:pgSz w:w="11906" w:h="16838"/>
          <w:pgMar w:top="1440" w:right="1800" w:bottom="1440" w:left="1800" w:header="851" w:footer="992" w:gutter="0"/>
          <w:pgNumType w:fmt="decimal" w:start="1"/>
          <w:cols w:space="425" w:num="1"/>
          <w:docGrid w:type="lines" w:linePitch="312" w:charSpace="0"/>
        </w:sectPr>
      </w:pPr>
    </w:p>
    <w:p>
      <w:pPr>
        <w:rPr>
          <w:rFonts w:ascii="Times New Roman" w:hAnsi="Times New Roman" w:eastAsia="宋体" w:cs="Times New Roman"/>
          <w:sz w:val="24"/>
        </w:rPr>
      </w:pPr>
    </w:p>
    <w:p>
      <w:pPr>
        <w:pStyle w:val="11"/>
        <w:ind w:firstLine="480"/>
        <w:rPr>
          <w:rFonts w:hint="eastAsia" w:eastAsia="宋体"/>
          <w:lang w:eastAsia="zh-CN"/>
        </w:rPr>
      </w:pPr>
      <w:r>
        <w:t>鉴于</w:t>
      </w:r>
      <w:r>
        <w:rPr>
          <w:rFonts w:hint="eastAsia"/>
          <w:lang w:eastAsia="zh-CN"/>
        </w:rPr>
        <w:t>：</w:t>
      </w:r>
    </w:p>
    <w:p>
      <w:pPr>
        <w:pStyle w:val="11"/>
        <w:ind w:firstLine="480"/>
      </w:pPr>
      <w:r>
        <w:t>甲方是GeoEast地震数据处理解释一体化系统及系列软件产品（以下简称“GeoEast软件”）的合法知识产权人，拥有</w:t>
      </w:r>
      <w:r>
        <w:rPr>
          <w:rFonts w:hint="eastAsia"/>
        </w:rPr>
        <w:t>GeoEast软件</w:t>
      </w:r>
      <w:r>
        <w:t>的经销授权与管理权限。</w:t>
      </w:r>
    </w:p>
    <w:p>
      <w:pPr>
        <w:pStyle w:val="11"/>
        <w:ind w:firstLine="480"/>
      </w:pPr>
      <w:r>
        <w:t>乙方符合《GeoEast软件经销商销售管理办法》的经销商资质要求，具备软件销售、市场拓展能力，自愿申请成为甲方授权经销商。</w:t>
      </w:r>
    </w:p>
    <w:p>
      <w:pPr>
        <w:pStyle w:val="11"/>
        <w:ind w:firstLine="480"/>
      </w:pPr>
      <w:r>
        <w:t>甲乙双方本着平等自愿、公平诚信、互利共赢、合规经营的原则，就乙方经销甲方GeoEast软件产品相关事宜，经充分协商，根据《中华人民共和国民法典》《中华人民共和国著作权法》《中华人民共和国反不正当竞争法》等相关法律法规及《</w:t>
      </w:r>
      <w:r>
        <w:rPr>
          <w:rFonts w:hint="eastAsia"/>
        </w:rPr>
        <w:t>GeoEast软件经销商销售管理办法</w:t>
      </w:r>
      <w:r>
        <w:t>》，签订本协议，以资共同信守。</w:t>
      </w:r>
    </w:p>
    <w:p>
      <w:pPr>
        <w:pStyle w:val="2"/>
        <w:numPr>
          <w:ilvl w:val="0"/>
          <w:numId w:val="1"/>
        </w:numPr>
        <w:tabs>
          <w:tab w:val="left" w:pos="963"/>
        </w:tabs>
        <w:ind w:firstLine="482" w:firstLineChars="200"/>
      </w:pPr>
      <w:r>
        <w:t>总则</w:t>
      </w:r>
    </w:p>
    <w:p>
      <w:pPr>
        <w:pStyle w:val="11"/>
        <w:numPr>
          <w:ilvl w:val="0"/>
          <w:numId w:val="2"/>
        </w:numPr>
        <w:tabs>
          <w:tab w:val="left" w:pos="900"/>
          <w:tab w:val="clear" w:pos="210"/>
        </w:tabs>
      </w:pPr>
      <w:r>
        <w:t>本协议适用于中国石油天然气集团有限公司以外的国内市场及国际市场的GeoEast软件销售活动，双方均需遵守业务所在国家/地区的法律法规、廉洁自律规定，以及本协议的全部要求。</w:t>
      </w:r>
    </w:p>
    <w:p>
      <w:pPr>
        <w:pStyle w:val="11"/>
        <w:numPr>
          <w:ilvl w:val="0"/>
          <w:numId w:val="2"/>
        </w:numPr>
        <w:tabs>
          <w:tab w:val="left" w:pos="900"/>
          <w:tab w:val="clear" w:pos="210"/>
        </w:tabs>
      </w:pPr>
      <w:r>
        <w:t>本协议附件为本协议不可分割的组成部分，与本协议正文具有同等法律效力。</w:t>
      </w:r>
    </w:p>
    <w:p>
      <w:pPr>
        <w:pStyle w:val="2"/>
        <w:numPr>
          <w:ilvl w:val="0"/>
          <w:numId w:val="1"/>
        </w:numPr>
        <w:tabs>
          <w:tab w:val="left" w:pos="963"/>
        </w:tabs>
        <w:ind w:firstLine="482" w:firstLineChars="200"/>
      </w:pPr>
      <w:r>
        <w:t>经销授权</w:t>
      </w:r>
    </w:p>
    <w:p>
      <w:pPr>
        <w:pStyle w:val="11"/>
        <w:numPr>
          <w:ilvl w:val="0"/>
          <w:numId w:val="3"/>
        </w:numPr>
        <w:tabs>
          <w:tab w:val="left" w:pos="900"/>
          <w:tab w:val="clear" w:pos="210"/>
        </w:tabs>
      </w:pPr>
      <w:r>
        <w:t>授权范围：甲方授权乙方在</w:t>
      </w:r>
      <w:r>
        <w:rPr>
          <w:rFonts w:hint="eastAsia"/>
        </w:rPr>
        <w:t>附件1《GeoEast软件产品经销授权范围》约定的市场</w:t>
      </w:r>
      <w:r>
        <w:t>范围内，作为甲方【□独家/□非独家】授权经销商开展GeoEast软件经销业务。乙方超出本范围开展业务的，须事前向甲方书面报备，经甲方书面授权后方可实施。</w:t>
      </w:r>
    </w:p>
    <w:p>
      <w:pPr>
        <w:pStyle w:val="11"/>
        <w:numPr>
          <w:ilvl w:val="0"/>
          <w:numId w:val="3"/>
        </w:numPr>
        <w:tabs>
          <w:tab w:val="left" w:pos="900"/>
          <w:tab w:val="clear" w:pos="210"/>
        </w:tabs>
      </w:pPr>
      <w:r>
        <w:t>授权期限：本协议经销授权有效期自</w:t>
      </w:r>
      <w:r>
        <w:rPr>
          <w:rFonts w:hint="eastAsia"/>
        </w:rPr>
        <w:t>签订之</w:t>
      </w:r>
      <w:r>
        <w:t>日起至【 】年【 】月【 】日止。</w:t>
      </w:r>
    </w:p>
    <w:p>
      <w:pPr>
        <w:pStyle w:val="11"/>
        <w:numPr>
          <w:ilvl w:val="0"/>
          <w:numId w:val="3"/>
        </w:numPr>
        <w:tabs>
          <w:tab w:val="left" w:pos="900"/>
          <w:tab w:val="clear" w:pos="210"/>
        </w:tabs>
      </w:pPr>
      <w:r>
        <w:t>续约约定：协议到期后经销关系自动解除，同等条件下乙方享有优先续约权。乙方需续约的，应在协议到期前3个月提交书面申请，经甲方审核通过后另行签订协议。</w:t>
      </w:r>
    </w:p>
    <w:p>
      <w:pPr>
        <w:pStyle w:val="11"/>
        <w:numPr>
          <w:ilvl w:val="0"/>
          <w:numId w:val="3"/>
        </w:numPr>
        <w:tabs>
          <w:tab w:val="left" w:pos="900"/>
          <w:tab w:val="clear" w:pos="210"/>
        </w:tabs>
      </w:pPr>
      <w:r>
        <w:t>转委托</w:t>
      </w:r>
      <w:r>
        <w:rPr>
          <w:rFonts w:hint="eastAsia"/>
        </w:rPr>
        <w:t>约定</w:t>
      </w:r>
      <w:r>
        <w:t>：未经甲方书面同意，乙方不得将本协议</w:t>
      </w:r>
      <w:r>
        <w:rPr>
          <w:rFonts w:hint="eastAsia"/>
        </w:rPr>
        <w:t>约定</w:t>
      </w:r>
      <w:r>
        <w:t>的经销权转委托、转授权给任何第三方。</w:t>
      </w:r>
    </w:p>
    <w:p>
      <w:pPr>
        <w:pStyle w:val="2"/>
        <w:numPr>
          <w:ilvl w:val="0"/>
          <w:numId w:val="1"/>
        </w:numPr>
        <w:tabs>
          <w:tab w:val="left" w:pos="963"/>
        </w:tabs>
        <w:ind w:firstLine="482" w:firstLineChars="200"/>
      </w:pPr>
      <w:r>
        <w:t>双方权利与义务</w:t>
      </w:r>
    </w:p>
    <w:p>
      <w:pPr>
        <w:pStyle w:val="3"/>
        <w:numPr>
          <w:ilvl w:val="0"/>
          <w:numId w:val="4"/>
        </w:numPr>
        <w:tabs>
          <w:tab w:val="left" w:pos="903"/>
          <w:tab w:val="clear" w:pos="210"/>
        </w:tabs>
        <w:ind w:firstLine="482" w:firstLineChars="200"/>
      </w:pPr>
      <w:r>
        <w:t>甲方权利与义务</w:t>
      </w:r>
    </w:p>
    <w:p>
      <w:pPr>
        <w:pStyle w:val="4"/>
        <w:numPr>
          <w:ilvl w:val="0"/>
          <w:numId w:val="5"/>
        </w:numPr>
        <w:tabs>
          <w:tab w:val="left" w:pos="1080"/>
          <w:tab w:val="clear" w:pos="210"/>
        </w:tabs>
        <w:ind w:firstLine="480" w:firstLineChars="200"/>
      </w:pPr>
      <w:r>
        <w:t>甲方权利</w:t>
      </w:r>
    </w:p>
    <w:p>
      <w:pPr>
        <w:pStyle w:val="11"/>
        <w:numPr>
          <w:ilvl w:val="0"/>
          <w:numId w:val="6"/>
        </w:numPr>
        <w:tabs>
          <w:tab w:val="left" w:pos="1080"/>
        </w:tabs>
      </w:pPr>
      <w:r>
        <w:t>有权制定、调整GeoEast软件的产品、价格、市场及经销政策，提前书面通知乙方后执行；</w:t>
      </w:r>
    </w:p>
    <w:p>
      <w:pPr>
        <w:pStyle w:val="11"/>
        <w:numPr>
          <w:ilvl w:val="0"/>
          <w:numId w:val="6"/>
        </w:numPr>
        <w:tabs>
          <w:tab w:val="left" w:pos="1080"/>
        </w:tabs>
      </w:pPr>
      <w:r>
        <w:t>有权对乙方设定年度进货考核指标，开展年度资质年审与经营考核，对乙方违规违约行为按协议约定追责；</w:t>
      </w:r>
    </w:p>
    <w:p>
      <w:pPr>
        <w:pStyle w:val="11"/>
        <w:numPr>
          <w:ilvl w:val="0"/>
          <w:numId w:val="6"/>
        </w:numPr>
        <w:tabs>
          <w:tab w:val="left" w:pos="1080"/>
        </w:tabs>
      </w:pPr>
      <w:r>
        <w:t>有权监督乙方的销售行为、服务质量与合规经营情况，要求乙方按要求提交经营相关资料。</w:t>
      </w:r>
    </w:p>
    <w:p>
      <w:pPr>
        <w:pStyle w:val="4"/>
        <w:numPr>
          <w:ilvl w:val="0"/>
          <w:numId w:val="5"/>
        </w:numPr>
        <w:tabs>
          <w:tab w:val="left" w:pos="1080"/>
          <w:tab w:val="clear" w:pos="210"/>
        </w:tabs>
        <w:ind w:firstLine="480" w:firstLineChars="200"/>
      </w:pPr>
      <w:r>
        <w:t>甲方义务</w:t>
      </w:r>
    </w:p>
    <w:p>
      <w:pPr>
        <w:pStyle w:val="11"/>
        <w:numPr>
          <w:ilvl w:val="0"/>
          <w:numId w:val="7"/>
        </w:numPr>
        <w:tabs>
          <w:tab w:val="left" w:pos="1080"/>
        </w:tabs>
      </w:pPr>
      <w:r>
        <w:t>保证授权销售的GeoEast软件为拥有完整自主知识产权的合法产品，无权属争议；</w:t>
      </w:r>
    </w:p>
    <w:p>
      <w:pPr>
        <w:pStyle w:val="11"/>
        <w:numPr>
          <w:ilvl w:val="0"/>
          <w:numId w:val="7"/>
        </w:numPr>
        <w:tabs>
          <w:tab w:val="left" w:pos="1080"/>
        </w:tabs>
      </w:pPr>
      <w:r>
        <w:t>为乙方安装部署GeoEast软件，用于产品学习、宣传推广及技术服务；</w:t>
      </w:r>
    </w:p>
    <w:p>
      <w:pPr>
        <w:pStyle w:val="11"/>
        <w:numPr>
          <w:ilvl w:val="0"/>
          <w:numId w:val="7"/>
        </w:numPr>
        <w:tabs>
          <w:tab w:val="left" w:pos="1080"/>
        </w:tabs>
      </w:pPr>
      <w:r>
        <w:t>为乙方提供产品技术培训、必要的技术支持，配合乙方开展市场推广活动；</w:t>
      </w:r>
    </w:p>
    <w:p>
      <w:pPr>
        <w:pStyle w:val="11"/>
        <w:numPr>
          <w:ilvl w:val="0"/>
          <w:numId w:val="7"/>
        </w:numPr>
        <w:tabs>
          <w:tab w:val="left" w:pos="1080"/>
        </w:tabs>
      </w:pPr>
      <w:r>
        <w:t>按协议约定兑现销售激励政策，为合规项目及时发放软件许可证。</w:t>
      </w:r>
    </w:p>
    <w:p>
      <w:pPr>
        <w:pStyle w:val="3"/>
        <w:numPr>
          <w:ilvl w:val="0"/>
          <w:numId w:val="4"/>
        </w:numPr>
        <w:tabs>
          <w:tab w:val="left" w:pos="903"/>
          <w:tab w:val="clear" w:pos="210"/>
        </w:tabs>
        <w:ind w:firstLine="482" w:firstLineChars="200"/>
      </w:pPr>
      <w:r>
        <w:t>乙方权利与义务</w:t>
      </w:r>
    </w:p>
    <w:p>
      <w:pPr>
        <w:pStyle w:val="4"/>
        <w:numPr>
          <w:ilvl w:val="0"/>
          <w:numId w:val="8"/>
        </w:numPr>
        <w:tabs>
          <w:tab w:val="left" w:pos="1080"/>
          <w:tab w:val="clear" w:pos="210"/>
        </w:tabs>
        <w:ind w:firstLine="480" w:firstLineChars="200"/>
      </w:pPr>
      <w:r>
        <w:t>乙方权利</w:t>
      </w:r>
    </w:p>
    <w:p>
      <w:pPr>
        <w:pStyle w:val="11"/>
        <w:numPr>
          <w:ilvl w:val="0"/>
          <w:numId w:val="9"/>
        </w:numPr>
        <w:tabs>
          <w:tab w:val="left" w:pos="1080"/>
        </w:tabs>
      </w:pPr>
      <w:r>
        <w:t>有权在协议约定的范围、期限内，以甲方授权经销商名义自主开展经销业务；</w:t>
      </w:r>
    </w:p>
    <w:p>
      <w:pPr>
        <w:pStyle w:val="11"/>
        <w:numPr>
          <w:ilvl w:val="0"/>
          <w:numId w:val="9"/>
        </w:numPr>
        <w:tabs>
          <w:tab w:val="left" w:pos="1080"/>
        </w:tabs>
      </w:pPr>
      <w:r>
        <w:t>有权在协议约定的销售底价以上，自主确定面向终端客户的销售价格；</w:t>
      </w:r>
    </w:p>
    <w:p>
      <w:pPr>
        <w:pStyle w:val="11"/>
        <w:numPr>
          <w:ilvl w:val="0"/>
          <w:numId w:val="9"/>
        </w:numPr>
        <w:tabs>
          <w:tab w:val="left" w:pos="1080"/>
        </w:tabs>
      </w:pPr>
      <w:r>
        <w:t>有权要求甲方按协议约定提供产品、技术培训及技术支持，保障经销业务正常开展；</w:t>
      </w:r>
    </w:p>
    <w:p>
      <w:pPr>
        <w:pStyle w:val="11"/>
        <w:numPr>
          <w:ilvl w:val="0"/>
          <w:numId w:val="9"/>
        </w:numPr>
        <w:tabs>
          <w:tab w:val="left" w:pos="1080"/>
        </w:tabs>
      </w:pPr>
      <w:r>
        <w:t>有权按协议约定享受符合条件的年度销售激励政策。</w:t>
      </w:r>
    </w:p>
    <w:p>
      <w:pPr>
        <w:pStyle w:val="4"/>
        <w:numPr>
          <w:ilvl w:val="0"/>
          <w:numId w:val="8"/>
        </w:numPr>
        <w:tabs>
          <w:tab w:val="left" w:pos="1080"/>
          <w:tab w:val="clear" w:pos="210"/>
        </w:tabs>
        <w:ind w:firstLine="480" w:firstLineChars="200"/>
      </w:pPr>
      <w:r>
        <w:t>乙方义务</w:t>
      </w:r>
    </w:p>
    <w:p>
      <w:pPr>
        <w:pStyle w:val="11"/>
        <w:numPr>
          <w:ilvl w:val="0"/>
          <w:numId w:val="10"/>
        </w:numPr>
        <w:tabs>
          <w:tab w:val="left" w:pos="1080"/>
        </w:tabs>
      </w:pPr>
      <w:r>
        <w:t>严格遵守本协议，在授权范围内积极开展市场拓展、客户开发，完成年度进货考核指标；</w:t>
      </w:r>
    </w:p>
    <w:p>
      <w:pPr>
        <w:pStyle w:val="11"/>
        <w:numPr>
          <w:ilvl w:val="0"/>
          <w:numId w:val="10"/>
        </w:numPr>
        <w:tabs>
          <w:tab w:val="left" w:pos="1080"/>
        </w:tabs>
      </w:pPr>
      <w:r>
        <w:t>按甲方要求定期提交营销计划、市场工作报告，每半年提交一次市场推广报告，与甲方共享客户信息、项目进展及市场动态；</w:t>
      </w:r>
    </w:p>
    <w:p>
      <w:pPr>
        <w:pStyle w:val="11"/>
        <w:numPr>
          <w:ilvl w:val="0"/>
          <w:numId w:val="10"/>
        </w:numPr>
        <w:tabs>
          <w:tab w:val="left" w:pos="1080"/>
        </w:tabs>
      </w:pPr>
      <w:r>
        <w:t>所有销售的GeoEast软件均须从甲方合法采购，严禁销售盗版、破解版本软件，严禁研发与甲方产品有竞争性的软件产品；</w:t>
      </w:r>
    </w:p>
    <w:p>
      <w:pPr>
        <w:pStyle w:val="11"/>
        <w:numPr>
          <w:ilvl w:val="0"/>
          <w:numId w:val="10"/>
        </w:numPr>
        <w:tabs>
          <w:tab w:val="left" w:pos="1080"/>
        </w:tabs>
      </w:pPr>
      <w:r>
        <w:t>自行承担经销项目全部的软件安装、升级维护、技术支持及培训服务，诚信对待客户，及时反馈客户的产品问题与意见，维护甲方品牌形象；</w:t>
      </w:r>
    </w:p>
    <w:p>
      <w:pPr>
        <w:pStyle w:val="11"/>
        <w:numPr>
          <w:ilvl w:val="0"/>
          <w:numId w:val="10"/>
        </w:numPr>
        <w:tabs>
          <w:tab w:val="left" w:pos="1080"/>
        </w:tabs>
      </w:pPr>
      <w:r>
        <w:t>严格执行甲方价格管理政策，不得低于协议约定的销售底价销售，不得虚假宣传、恶意窜货、不正当竞争；</w:t>
      </w:r>
    </w:p>
    <w:p>
      <w:pPr>
        <w:pStyle w:val="11"/>
        <w:numPr>
          <w:ilvl w:val="0"/>
          <w:numId w:val="10"/>
        </w:numPr>
        <w:tabs>
          <w:tab w:val="left" w:pos="1080"/>
        </w:tabs>
      </w:pPr>
      <w:r>
        <w:t>不得对GeoEast软件实施复制、解密、反编译等反向工程，不得泄露甲方商业秘密与技术秘密；</w:t>
      </w:r>
    </w:p>
    <w:p>
      <w:pPr>
        <w:pStyle w:val="11"/>
        <w:numPr>
          <w:ilvl w:val="0"/>
          <w:numId w:val="10"/>
        </w:numPr>
        <w:tabs>
          <w:tab w:val="left" w:pos="1080"/>
        </w:tabs>
      </w:pPr>
      <w:r>
        <w:t>严格遵守廉洁经营规定，不得通过行贿、回扣等不正当手段获取业务；</w:t>
      </w:r>
    </w:p>
    <w:p>
      <w:pPr>
        <w:pStyle w:val="11"/>
        <w:numPr>
          <w:ilvl w:val="0"/>
          <w:numId w:val="10"/>
        </w:numPr>
        <w:tabs>
          <w:tab w:val="left" w:pos="1080"/>
        </w:tabs>
      </w:pPr>
      <w:r>
        <w:t>每个销售项目实行“一事一签”，</w:t>
      </w:r>
      <w:r>
        <w:rPr>
          <w:rFonts w:hint="eastAsia"/>
        </w:rPr>
        <w:t>乙方</w:t>
      </w:r>
      <w:r>
        <w:t>须</w:t>
      </w:r>
      <w:r>
        <w:rPr>
          <w:rFonts w:hint="eastAsia"/>
        </w:rPr>
        <w:t>提前</w:t>
      </w:r>
      <w:r>
        <w:t>向甲方申请《GeoEast软件产品委托销售授权书》，严禁无授权销售。</w:t>
      </w:r>
    </w:p>
    <w:p>
      <w:pPr>
        <w:pStyle w:val="2"/>
        <w:numPr>
          <w:ilvl w:val="0"/>
          <w:numId w:val="1"/>
        </w:numPr>
        <w:tabs>
          <w:tab w:val="left" w:pos="963"/>
        </w:tabs>
        <w:ind w:firstLine="482" w:firstLineChars="200"/>
      </w:pPr>
      <w:r>
        <w:t>销售价格与结算</w:t>
      </w:r>
    </w:p>
    <w:p>
      <w:pPr>
        <w:pStyle w:val="11"/>
        <w:numPr>
          <w:ilvl w:val="0"/>
          <w:numId w:val="11"/>
        </w:numPr>
        <w:tabs>
          <w:tab w:val="left" w:pos="900"/>
          <w:tab w:val="clear" w:pos="210"/>
        </w:tabs>
      </w:pPr>
      <w:r>
        <w:t>GeoEast软件执行底价销售政策，所有项目均以乙方自行承担全部技术支持和培训服务为原则，对应销售底价按以下场景执行，</w:t>
      </w:r>
      <w:r>
        <w:rPr>
          <w:rFonts w:hint="eastAsia"/>
        </w:rPr>
        <w:t>底价</w:t>
      </w:r>
      <w:r>
        <w:t>为最低限价，乙方所有销售活动不得低于底价开展：</w:t>
      </w:r>
    </w:p>
    <w:p>
      <w:pPr>
        <w:pStyle w:val="11"/>
        <w:numPr>
          <w:ilvl w:val="0"/>
          <w:numId w:val="12"/>
        </w:numPr>
        <w:tabs>
          <w:tab w:val="left" w:pos="1080"/>
        </w:tabs>
      </w:pPr>
      <w:r>
        <w:t>乙方在授权范围内自主开拓的市场项目，销售底价为甲方发布的市场指导价的40%；</w:t>
      </w:r>
    </w:p>
    <w:p>
      <w:pPr>
        <w:pStyle w:val="11"/>
        <w:numPr>
          <w:ilvl w:val="0"/>
          <w:numId w:val="12"/>
        </w:numPr>
        <w:tabs>
          <w:tab w:val="left" w:pos="1080"/>
        </w:tabs>
      </w:pPr>
      <w:r>
        <w:t>针对科研院所、</w:t>
      </w:r>
      <w:r>
        <w:rPr>
          <w:rFonts w:hint="eastAsia"/>
        </w:rPr>
        <w:t>小微企业等特殊客户，或</w:t>
      </w:r>
      <w:r>
        <w:t>规模化采购、新兴市场开拓</w:t>
      </w:r>
      <w:r>
        <w:rPr>
          <w:rFonts w:hint="eastAsia"/>
        </w:rPr>
        <w:t>、竞争性替代</w:t>
      </w:r>
      <w:r>
        <w:t>等</w:t>
      </w:r>
      <w:r>
        <w:rPr>
          <w:rFonts w:hint="eastAsia"/>
        </w:rPr>
        <w:t>需要申请特殊优惠政策的项目，经销商应提出书面申请并</w:t>
      </w:r>
      <w:r>
        <w:t>经甲方审批同意，销售底价</w:t>
      </w:r>
      <w:r>
        <w:rPr>
          <w:rFonts w:hint="eastAsia"/>
        </w:rPr>
        <w:t>为</w:t>
      </w:r>
      <w:r>
        <w:t>软件终端售价的70%</w:t>
      </w:r>
      <w:r>
        <w:rPr>
          <w:rFonts w:hint="eastAsia"/>
        </w:rPr>
        <w:t>；</w:t>
      </w:r>
    </w:p>
    <w:p>
      <w:pPr>
        <w:pStyle w:val="11"/>
        <w:numPr>
          <w:ilvl w:val="0"/>
          <w:numId w:val="11"/>
        </w:numPr>
        <w:tabs>
          <w:tab w:val="left" w:pos="900"/>
          <w:tab w:val="clear" w:pos="210"/>
        </w:tabs>
      </w:pPr>
      <w:r>
        <w:t>若乙方因技术能力不足，无法自行完成项目对应的技术支持、培训、安装维护等服务，需委托甲方执行的，须提前向甲方提交书面申请，经甲方同意后，</w:t>
      </w:r>
      <w:r>
        <w:rPr>
          <w:rFonts w:hint="eastAsia"/>
        </w:rPr>
        <w:t>按照</w:t>
      </w:r>
      <w:r>
        <w:t>附件2《GeoEast软件产品技术服务价格表》向甲方全额支付对应服务费用。</w:t>
      </w:r>
    </w:p>
    <w:p>
      <w:pPr>
        <w:pStyle w:val="11"/>
        <w:numPr>
          <w:ilvl w:val="0"/>
          <w:numId w:val="11"/>
        </w:numPr>
        <w:tabs>
          <w:tab w:val="left" w:pos="900"/>
          <w:tab w:val="clear" w:pos="210"/>
        </w:tabs>
      </w:pPr>
      <w:r>
        <w:t>结算规则：乙方与终端客户确认购买意向后，须先与甲方签订《GeoEast软件产品采购合同》，按协议约定支付采购款项，甲方收到</w:t>
      </w:r>
      <w:r>
        <w:rPr>
          <w:rFonts w:hint="eastAsia"/>
        </w:rPr>
        <w:t>对应</w:t>
      </w:r>
      <w:r>
        <w:t>款项后，按约定发放软件许可证。所有款项以人民币计价，双方各自承担交易产生的相关税费。</w:t>
      </w:r>
    </w:p>
    <w:p>
      <w:pPr>
        <w:pStyle w:val="11"/>
        <w:tabs>
          <w:tab w:val="left" w:pos="1080"/>
        </w:tabs>
        <w:ind w:left="420" w:leftChars="200" w:firstLine="0" w:firstLineChars="0"/>
      </w:pPr>
      <w:r>
        <w:rPr>
          <w:rFonts w:hint="eastAsia"/>
        </w:rPr>
        <w:t>4.</w:t>
      </w:r>
      <w:r>
        <w:t>4</w:t>
      </w:r>
      <w:r>
        <w:rPr>
          <w:rFonts w:hint="eastAsia"/>
        </w:rPr>
        <w:t xml:space="preserve"> </w:t>
      </w:r>
      <w:r>
        <w:t>甲方指定收款账户信息如下：</w:t>
      </w:r>
    </w:p>
    <w:p>
      <w:pPr>
        <w:pStyle w:val="11"/>
        <w:ind w:firstLine="480"/>
      </w:pPr>
      <w:r>
        <w:t>账户名称：【 】</w:t>
      </w:r>
    </w:p>
    <w:p>
      <w:pPr>
        <w:pStyle w:val="11"/>
        <w:ind w:firstLine="480"/>
      </w:pPr>
      <w:r>
        <w:t>开户银行：【 】</w:t>
      </w:r>
    </w:p>
    <w:p>
      <w:pPr>
        <w:pStyle w:val="11"/>
        <w:ind w:firstLine="480"/>
      </w:pPr>
      <w:r>
        <w:t>银行账号：【 】</w:t>
      </w:r>
    </w:p>
    <w:p>
      <w:pPr>
        <w:pStyle w:val="2"/>
        <w:numPr>
          <w:ilvl w:val="0"/>
          <w:numId w:val="1"/>
        </w:numPr>
        <w:tabs>
          <w:tab w:val="left" w:pos="963"/>
        </w:tabs>
        <w:ind w:firstLine="482" w:firstLineChars="200"/>
      </w:pPr>
      <w:r>
        <w:t>履约保证金</w:t>
      </w:r>
    </w:p>
    <w:p>
      <w:pPr>
        <w:pStyle w:val="11"/>
        <w:numPr>
          <w:ilvl w:val="0"/>
          <w:numId w:val="13"/>
        </w:numPr>
        <w:tabs>
          <w:tab w:val="left" w:pos="900"/>
          <w:tab w:val="clear" w:pos="210"/>
        </w:tabs>
      </w:pPr>
      <w:r>
        <w:t>乙方应在本协议签订后10个工作日内，向甲方指定账户一次性缴纳履约保证金人民币</w:t>
      </w:r>
      <w:r>
        <w:rPr>
          <w:rFonts w:hint="eastAsia"/>
        </w:rPr>
        <w:t>贰拾</w:t>
      </w:r>
      <w:r>
        <w:t>万元整（¥200,000.00），保证金不计利息，专项用于担保乙方履行本协议的义务。</w:t>
      </w:r>
    </w:p>
    <w:p>
      <w:pPr>
        <w:pStyle w:val="11"/>
        <w:numPr>
          <w:ilvl w:val="0"/>
          <w:numId w:val="13"/>
        </w:numPr>
        <w:tabs>
          <w:tab w:val="left" w:pos="900"/>
          <w:tab w:val="clear" w:pos="210"/>
        </w:tabs>
      </w:pPr>
      <w:r>
        <w:t>乙方发生下列情形之一的，甲方有权根据违约情节及实际损失，部分或全部罚没保证金：</w:t>
      </w:r>
    </w:p>
    <w:p>
      <w:pPr>
        <w:pStyle w:val="11"/>
        <w:numPr>
          <w:ilvl w:val="0"/>
          <w:numId w:val="14"/>
        </w:numPr>
        <w:tabs>
          <w:tab w:val="left" w:pos="1080"/>
        </w:tabs>
      </w:pPr>
      <w:r>
        <w:t>未经授权擅自销售、跨范围经营、虚假宣传，严重损害甲方权益或品牌形象的；</w:t>
      </w:r>
    </w:p>
    <w:p>
      <w:pPr>
        <w:pStyle w:val="11"/>
        <w:numPr>
          <w:ilvl w:val="0"/>
          <w:numId w:val="14"/>
        </w:numPr>
        <w:tabs>
          <w:tab w:val="left" w:pos="1080"/>
        </w:tabs>
      </w:pPr>
      <w:r>
        <w:t>复制、破解软件、实施反向工程，或研发竞争性软件产品的；</w:t>
      </w:r>
    </w:p>
    <w:p>
      <w:pPr>
        <w:pStyle w:val="11"/>
        <w:numPr>
          <w:ilvl w:val="0"/>
          <w:numId w:val="14"/>
        </w:numPr>
        <w:tabs>
          <w:tab w:val="left" w:pos="1080"/>
        </w:tabs>
      </w:pPr>
      <w:r>
        <w:t>存在行贿、商业欺诈等违法违规行为，违反廉洁规定情节严重的；</w:t>
      </w:r>
    </w:p>
    <w:p>
      <w:pPr>
        <w:pStyle w:val="11"/>
        <w:numPr>
          <w:ilvl w:val="0"/>
          <w:numId w:val="14"/>
        </w:numPr>
        <w:tabs>
          <w:tab w:val="left" w:pos="1080"/>
        </w:tabs>
      </w:pPr>
      <w:r>
        <w:t>擅自转委托、泄露甲方商业秘密，造成甲方经济损失的；</w:t>
      </w:r>
    </w:p>
    <w:p>
      <w:pPr>
        <w:pStyle w:val="11"/>
        <w:numPr>
          <w:ilvl w:val="0"/>
          <w:numId w:val="14"/>
        </w:numPr>
        <w:tabs>
          <w:tab w:val="left" w:pos="1080"/>
        </w:tabs>
      </w:pPr>
      <w:r>
        <w:t>多次被客户投诉服务不合格，经查证属实且未按期整改的；</w:t>
      </w:r>
    </w:p>
    <w:p>
      <w:pPr>
        <w:pStyle w:val="11"/>
        <w:numPr>
          <w:ilvl w:val="0"/>
          <w:numId w:val="14"/>
        </w:numPr>
        <w:tabs>
          <w:tab w:val="left" w:pos="1080"/>
        </w:tabs>
      </w:pPr>
      <w:r>
        <w:t>违反底价销售政策、连续两次未按要求提交市场报告，或其他严重违约行为的。</w:t>
      </w:r>
    </w:p>
    <w:p>
      <w:pPr>
        <w:pStyle w:val="11"/>
        <w:numPr>
          <w:ilvl w:val="0"/>
          <w:numId w:val="13"/>
        </w:numPr>
        <w:tabs>
          <w:tab w:val="left" w:pos="900"/>
          <w:tab w:val="clear" w:pos="210"/>
        </w:tabs>
      </w:pPr>
      <w:r>
        <w:t>甲方罚没保证金前将向乙方发出书面通知，乙方可在收到通知后10个工作日内提交书面申辩。保证金被罚没后，乙方须在15个工作日内补足至20万元；逾期未补足的，甲方有权暂停其经销资格；逾期超30个工作日的，甲方有权单方解除本协议。</w:t>
      </w:r>
    </w:p>
    <w:p>
      <w:pPr>
        <w:pStyle w:val="11"/>
        <w:numPr>
          <w:ilvl w:val="0"/>
          <w:numId w:val="13"/>
        </w:numPr>
        <w:tabs>
          <w:tab w:val="left" w:pos="900"/>
          <w:tab w:val="clear" w:pos="210"/>
        </w:tabs>
      </w:pPr>
      <w:r>
        <w:t>协议正常终止且乙方无违约行为、已履行完毕全部义务的，甲方在协议终止后30个工作日内全额无息退还保证金；有未完结售后服务的，甲方可暂扣不超过30%的保证金，待义务履行完毕后退还。</w:t>
      </w:r>
    </w:p>
    <w:p>
      <w:pPr>
        <w:pStyle w:val="2"/>
        <w:numPr>
          <w:ilvl w:val="0"/>
          <w:numId w:val="1"/>
        </w:numPr>
        <w:tabs>
          <w:tab w:val="left" w:pos="963"/>
        </w:tabs>
        <w:ind w:firstLine="482" w:firstLineChars="200"/>
      </w:pPr>
      <w:r>
        <w:t>年审与考核</w:t>
      </w:r>
    </w:p>
    <w:p>
      <w:pPr>
        <w:pStyle w:val="11"/>
        <w:numPr>
          <w:ilvl w:val="0"/>
          <w:numId w:val="15"/>
        </w:numPr>
        <w:tabs>
          <w:tab w:val="left" w:pos="900"/>
          <w:tab w:val="clear" w:pos="210"/>
        </w:tabs>
      </w:pPr>
      <w:r>
        <w:t>甲方每年组织一次经销商资质年审，乙方须按甲方要求提交年审相关材料，未通过年审的，甲方有权取消其经销资格。</w:t>
      </w:r>
    </w:p>
    <w:p>
      <w:pPr>
        <w:pStyle w:val="11"/>
        <w:numPr>
          <w:ilvl w:val="0"/>
          <w:numId w:val="15"/>
        </w:numPr>
        <w:tabs>
          <w:tab w:val="left" w:pos="900"/>
          <w:tab w:val="clear" w:pos="210"/>
        </w:tabs>
      </w:pPr>
      <w:r>
        <w:t>甲方对乙方设定年度进货考核指标，本协议项下乙方年度进货考核指标为【 】万元/年（不含税）</w:t>
      </w:r>
      <w:r>
        <w:rPr>
          <w:rFonts w:hint="eastAsia"/>
        </w:rPr>
        <w:t>，不满一年的此项不考核。甲方有权根据市场情况对乙方的年度考核指标进行调整，并于每年公历1月30日前书面通知乙方。</w:t>
      </w:r>
    </w:p>
    <w:p>
      <w:pPr>
        <w:pStyle w:val="11"/>
        <w:numPr>
          <w:ilvl w:val="0"/>
          <w:numId w:val="15"/>
        </w:numPr>
        <w:tabs>
          <w:tab w:val="left" w:pos="900"/>
          <w:tab w:val="clear" w:pos="210"/>
        </w:tabs>
      </w:pPr>
      <w:r>
        <w:t>年审核心考核内容</w:t>
      </w:r>
    </w:p>
    <w:p>
      <w:pPr>
        <w:pStyle w:val="11"/>
        <w:numPr>
          <w:ilvl w:val="0"/>
          <w:numId w:val="16"/>
        </w:numPr>
        <w:tabs>
          <w:tab w:val="left" w:pos="1080"/>
        </w:tabs>
      </w:pPr>
      <w:r>
        <w:t>市场报告提交情况：乙方连续两次未按要求提交市场推广报告的，甲方有权直接取消其经销资格；</w:t>
      </w:r>
    </w:p>
    <w:p>
      <w:pPr>
        <w:pStyle w:val="11"/>
        <w:numPr>
          <w:ilvl w:val="0"/>
          <w:numId w:val="16"/>
        </w:numPr>
        <w:tabs>
          <w:tab w:val="left" w:pos="1080"/>
        </w:tabs>
      </w:pPr>
      <w:r>
        <w:t>年度进货指标完成情况：年度完成率不足80%的，次年销售底价</w:t>
      </w:r>
      <w:r>
        <w:rPr>
          <w:rFonts w:hint="eastAsia"/>
        </w:rPr>
        <w:t>在当年底价基础上</w:t>
      </w:r>
      <w:r>
        <w:t>上调市场指导价的1%</w:t>
      </w:r>
      <w:r>
        <w:rPr>
          <w:rFonts w:hint="eastAsia"/>
        </w:rPr>
        <w:t>，该政策逐年累加</w:t>
      </w:r>
      <w:r>
        <w:t>；连续两年完成率不足70%的，甲方有权缩减授权范围或取消经销资格；</w:t>
      </w:r>
    </w:p>
    <w:p>
      <w:pPr>
        <w:pStyle w:val="11"/>
        <w:numPr>
          <w:ilvl w:val="0"/>
          <w:numId w:val="16"/>
        </w:numPr>
        <w:tabs>
          <w:tab w:val="left" w:pos="1080"/>
        </w:tabs>
      </w:pPr>
      <w:r>
        <w:t>合规经营与服务质量：存在违法违规、违约行为，或服务不达标、客户投诉率过高的，甲方有权</w:t>
      </w:r>
      <w:r>
        <w:rPr>
          <w:rFonts w:hint="eastAsia"/>
        </w:rPr>
        <w:t>根据经济损失情况罚没保证金，并</w:t>
      </w:r>
      <w:r>
        <w:t>要求限期整改，整改不合格的取消经销资格。</w:t>
      </w:r>
    </w:p>
    <w:p>
      <w:pPr>
        <w:pStyle w:val="11"/>
        <w:numPr>
          <w:ilvl w:val="0"/>
          <w:numId w:val="15"/>
        </w:numPr>
        <w:tabs>
          <w:tab w:val="left" w:pos="900"/>
          <w:tab w:val="clear" w:pos="210"/>
        </w:tabs>
      </w:pPr>
      <w:r>
        <w:t>年度销售激励政策</w:t>
      </w:r>
    </w:p>
    <w:p>
      <w:pPr>
        <w:pStyle w:val="11"/>
        <w:tabs>
          <w:tab w:val="left" w:pos="900"/>
        </w:tabs>
        <w:ind w:firstLine="424" w:firstLineChars="177"/>
        <w:rPr>
          <w:rFonts w:hint="eastAsia"/>
        </w:rPr>
      </w:pPr>
      <w:r>
        <w:rPr>
          <w:rFonts w:hint="eastAsia"/>
        </w:rPr>
        <w:t>以下</w:t>
      </w:r>
      <w:r>
        <w:t>销售激励政策考核周期为公历每年1月1日至12月31日的完整</w:t>
      </w:r>
      <w:r>
        <w:rPr>
          <w:rFonts w:hint="eastAsia"/>
        </w:rPr>
        <w:t>自然</w:t>
      </w:r>
      <w:r>
        <w:t>年度，以乙方年度不含税进货额为核算依据</w:t>
      </w:r>
      <w:r>
        <w:rPr>
          <w:rFonts w:hint="eastAsia"/>
        </w:rPr>
        <w:t>，签约不满一年按一年计算。</w:t>
      </w:r>
      <w:r>
        <w:t>激励优惠有效期</w:t>
      </w:r>
      <w:r>
        <w:rPr>
          <w:rFonts w:hint="eastAsia"/>
        </w:rPr>
        <w:t>为</w:t>
      </w:r>
      <w:r>
        <w:t>1年，</w:t>
      </w:r>
      <w:r>
        <w:rPr>
          <w:rFonts w:hint="eastAsia"/>
        </w:rPr>
        <w:t>优惠额度不累计，</w:t>
      </w:r>
      <w:r>
        <w:t>协议到期未续签的自动终止；到期后3个月内完成续签的，优惠可</w:t>
      </w:r>
      <w:r>
        <w:rPr>
          <w:rFonts w:hint="eastAsia"/>
        </w:rPr>
        <w:t>正常</w:t>
      </w:r>
      <w:r>
        <w:t>延续。</w:t>
      </w:r>
    </w:p>
    <w:p>
      <w:pPr>
        <w:pStyle w:val="11"/>
        <w:numPr>
          <w:ilvl w:val="0"/>
          <w:numId w:val="17"/>
        </w:numPr>
        <w:tabs>
          <w:tab w:val="left" w:pos="1080"/>
        </w:tabs>
      </w:pPr>
      <w:r>
        <w:t>年度进货额达500万元，次年销售底价在本协议约定基础上优惠市场指导价的2%；</w:t>
      </w:r>
    </w:p>
    <w:p>
      <w:pPr>
        <w:pStyle w:val="11"/>
        <w:numPr>
          <w:ilvl w:val="0"/>
          <w:numId w:val="17"/>
        </w:numPr>
        <w:tabs>
          <w:tab w:val="left" w:pos="1080"/>
        </w:tabs>
      </w:pPr>
      <w:r>
        <w:t>年度进货额达1000万元，次年优惠5%；</w:t>
      </w:r>
    </w:p>
    <w:p>
      <w:pPr>
        <w:pStyle w:val="11"/>
        <w:numPr>
          <w:ilvl w:val="0"/>
          <w:numId w:val="17"/>
        </w:numPr>
        <w:tabs>
          <w:tab w:val="left" w:pos="1080"/>
        </w:tabs>
      </w:pPr>
      <w:r>
        <w:t>年度进货额达1500万元，次年优惠8%；</w:t>
      </w:r>
    </w:p>
    <w:p>
      <w:pPr>
        <w:pStyle w:val="11"/>
        <w:numPr>
          <w:ilvl w:val="0"/>
          <w:numId w:val="17"/>
        </w:numPr>
        <w:tabs>
          <w:tab w:val="left" w:pos="1080"/>
        </w:tabs>
      </w:pPr>
      <w:r>
        <w:t>年度进货额达2000万元及以上，次年优惠10%。</w:t>
      </w:r>
    </w:p>
    <w:p>
      <w:pPr>
        <w:pStyle w:val="11"/>
        <w:numPr>
          <w:ilvl w:val="0"/>
          <w:numId w:val="15"/>
        </w:numPr>
        <w:tabs>
          <w:tab w:val="left" w:pos="900"/>
          <w:tab w:val="clear" w:pos="210"/>
        </w:tabs>
      </w:pPr>
      <w:r>
        <w:t>甲方在年审结束后15个工作日内将结果书面通知乙方，年审通过的可继续履行本协议，未通过的本协议自取消资格通知载明的日期起终止。</w:t>
      </w:r>
    </w:p>
    <w:p>
      <w:pPr>
        <w:pStyle w:val="2"/>
        <w:numPr>
          <w:ilvl w:val="0"/>
          <w:numId w:val="1"/>
        </w:numPr>
        <w:tabs>
          <w:tab w:val="left" w:pos="963"/>
        </w:tabs>
        <w:ind w:firstLine="482" w:firstLineChars="200"/>
      </w:pPr>
      <w:r>
        <w:t>知识产权与保密</w:t>
      </w:r>
    </w:p>
    <w:p>
      <w:pPr>
        <w:pStyle w:val="11"/>
        <w:numPr>
          <w:ilvl w:val="0"/>
          <w:numId w:val="18"/>
        </w:numPr>
        <w:tabs>
          <w:tab w:val="left" w:pos="900"/>
          <w:tab w:val="clear" w:pos="210"/>
        </w:tabs>
      </w:pPr>
      <w:r>
        <w:t>GeoEast软件的全部知识产权、所有权均归甲方独家所有，本协议仅授予乙方约定范围内的经销授权，未授予任何知识产权相关权利。乙方应严格保护甲方知识产权，不得实施任何侵权行为。</w:t>
      </w:r>
    </w:p>
    <w:p>
      <w:pPr>
        <w:pStyle w:val="11"/>
        <w:numPr>
          <w:ilvl w:val="0"/>
          <w:numId w:val="18"/>
        </w:numPr>
        <w:tabs>
          <w:tab w:val="left" w:pos="900"/>
          <w:tab w:val="clear" w:pos="210"/>
        </w:tabs>
      </w:pPr>
      <w:r>
        <w:t>双方应对合作过程中知悉的对方商业秘密、技术秘密、客户信息、价格政策等未公开信息承担严格保密义务，未经对方书面许可，不得向任何第三方泄露。</w:t>
      </w:r>
    </w:p>
    <w:p>
      <w:pPr>
        <w:pStyle w:val="11"/>
        <w:numPr>
          <w:ilvl w:val="0"/>
          <w:numId w:val="18"/>
        </w:numPr>
        <w:tabs>
          <w:tab w:val="left" w:pos="900"/>
          <w:tab w:val="clear" w:pos="210"/>
        </w:tabs>
      </w:pPr>
      <w:r>
        <w:t>保密义务在本协议存续期间及协议终止后3年内持续有效，不因协议解除、终止而失效。若一方泄露保密信息给对方造成损失的，须承担全部赔偿责任。</w:t>
      </w:r>
    </w:p>
    <w:p>
      <w:pPr>
        <w:pStyle w:val="2"/>
        <w:numPr>
          <w:ilvl w:val="0"/>
          <w:numId w:val="1"/>
        </w:numPr>
        <w:tabs>
          <w:tab w:val="left" w:pos="963"/>
        </w:tabs>
        <w:ind w:firstLine="482" w:firstLineChars="200"/>
      </w:pPr>
      <w:r>
        <w:t>廉洁经营条款</w:t>
      </w:r>
    </w:p>
    <w:p>
      <w:pPr>
        <w:pStyle w:val="11"/>
        <w:numPr>
          <w:ilvl w:val="0"/>
          <w:numId w:val="19"/>
        </w:numPr>
        <w:tabs>
          <w:tab w:val="left" w:pos="900"/>
          <w:tab w:val="clear" w:pos="210"/>
        </w:tabs>
      </w:pPr>
      <w:r>
        <w:t>双方均应严格遵守反商业贿赂相关法律法规，杜绝商业贿赂、不正当竞争行为。乙方不得为获取不正当利益，向甲方工作人员及相关关联方提供任何形式的现金、礼品、回扣、财产性利益等不正当利益。</w:t>
      </w:r>
    </w:p>
    <w:p>
      <w:pPr>
        <w:pStyle w:val="11"/>
        <w:numPr>
          <w:ilvl w:val="0"/>
          <w:numId w:val="19"/>
        </w:numPr>
        <w:tabs>
          <w:tab w:val="left" w:pos="900"/>
          <w:tab w:val="clear" w:pos="210"/>
        </w:tabs>
      </w:pPr>
      <w:r>
        <w:t>乙方违反本条约定的，甲方有权立即单方解除本协议，取消其经销资格，全额罚没履约保证金，并要求乙方支付不低于50万元的违约金，涉嫌违法犯罪的，甲方将向司法机关报案。</w:t>
      </w:r>
    </w:p>
    <w:p>
      <w:pPr>
        <w:pStyle w:val="2"/>
        <w:numPr>
          <w:ilvl w:val="0"/>
          <w:numId w:val="1"/>
        </w:numPr>
        <w:tabs>
          <w:tab w:val="left" w:pos="963"/>
        </w:tabs>
        <w:ind w:firstLine="482" w:firstLineChars="200"/>
      </w:pPr>
      <w:r>
        <w:t>协议的解除与终止</w:t>
      </w:r>
    </w:p>
    <w:p>
      <w:pPr>
        <w:pStyle w:val="11"/>
        <w:numPr>
          <w:ilvl w:val="0"/>
          <w:numId w:val="20"/>
        </w:numPr>
        <w:tabs>
          <w:tab w:val="left" w:pos="900"/>
          <w:tab w:val="clear" w:pos="210"/>
        </w:tabs>
      </w:pPr>
      <w:r>
        <w:t>协议有效期届满，双方未续签的，本协议自动终止。</w:t>
      </w:r>
    </w:p>
    <w:p>
      <w:pPr>
        <w:pStyle w:val="11"/>
        <w:numPr>
          <w:ilvl w:val="0"/>
          <w:numId w:val="20"/>
        </w:numPr>
        <w:tabs>
          <w:tab w:val="left" w:pos="900"/>
          <w:tab w:val="clear" w:pos="210"/>
        </w:tabs>
      </w:pPr>
      <w:r>
        <w:t>经双方协商一致，可签订书面解除协议，提前终止本协议。</w:t>
      </w:r>
    </w:p>
    <w:p>
      <w:pPr>
        <w:pStyle w:val="11"/>
        <w:numPr>
          <w:ilvl w:val="0"/>
          <w:numId w:val="20"/>
        </w:numPr>
        <w:tabs>
          <w:tab w:val="left" w:pos="900"/>
          <w:tab w:val="clear" w:pos="210"/>
        </w:tabs>
      </w:pPr>
      <w:r>
        <w:t>乙方发生本协议约定的根本违约情形，或丧失履约能力的，甲方有权单方解除本协议；甲方严重违约不履行核心义务，经乙方催告后30日内仍未整改的，乙方有权单方解除本协议。单方解除协议的，应提前1个月以书面形式通知对方。</w:t>
      </w:r>
    </w:p>
    <w:p>
      <w:pPr>
        <w:pStyle w:val="11"/>
        <w:numPr>
          <w:ilvl w:val="0"/>
          <w:numId w:val="20"/>
        </w:numPr>
        <w:tabs>
          <w:tab w:val="left" w:pos="900"/>
          <w:tab w:val="clear" w:pos="210"/>
        </w:tabs>
      </w:pPr>
      <w:r>
        <w:t>协议终止后，乙方须立即停止使用甲方品牌标识、经销授权，停止所有相关销售宣传活动；已签订的终端销售合同，乙方仍须继续履行完毕全部售后服务义务，甲方配合发放必要的软件许可证；双方仍需遵守知识产权保护、保密、廉洁条款的相关约定。</w:t>
      </w:r>
    </w:p>
    <w:p>
      <w:pPr>
        <w:pStyle w:val="2"/>
        <w:numPr>
          <w:ilvl w:val="0"/>
          <w:numId w:val="1"/>
        </w:numPr>
        <w:tabs>
          <w:tab w:val="left" w:pos="963"/>
        </w:tabs>
        <w:ind w:firstLine="482" w:firstLineChars="200"/>
      </w:pPr>
      <w:r>
        <w:t>违约责任与争议解决</w:t>
      </w:r>
    </w:p>
    <w:p>
      <w:pPr>
        <w:pStyle w:val="11"/>
        <w:numPr>
          <w:ilvl w:val="0"/>
          <w:numId w:val="21"/>
        </w:numPr>
        <w:tabs>
          <w:tab w:val="left" w:pos="1020"/>
          <w:tab w:val="clear" w:pos="210"/>
        </w:tabs>
      </w:pPr>
      <w:r>
        <w:t>任何一方违反本协议约定的，均构成违约，违约方须赔偿守约方因此遭受的全部经济损失，包括但不限于直接损失、维权费用、律师费、诉讼费等。</w:t>
      </w:r>
    </w:p>
    <w:p>
      <w:pPr>
        <w:pStyle w:val="11"/>
        <w:numPr>
          <w:ilvl w:val="0"/>
          <w:numId w:val="21"/>
        </w:numPr>
        <w:tabs>
          <w:tab w:val="left" w:pos="1020"/>
          <w:tab w:val="clear" w:pos="210"/>
        </w:tabs>
      </w:pPr>
      <w:r>
        <w:t>乙方实施反向工程、侵犯甲方知识产权的，须向甲方支付不低于50万元的赔偿金，不足以弥补损失的须补足差额。</w:t>
      </w:r>
    </w:p>
    <w:p>
      <w:pPr>
        <w:pStyle w:val="11"/>
        <w:numPr>
          <w:ilvl w:val="0"/>
          <w:numId w:val="21"/>
        </w:numPr>
        <w:tabs>
          <w:tab w:val="left" w:pos="1020"/>
          <w:tab w:val="clear" w:pos="210"/>
        </w:tabs>
      </w:pPr>
      <w:r>
        <w:t>因本协议产生的所有纠纷，双方应首先友好协商解决；协商不成的，任何一方均有权向甲方住所地有管辖权的人民法院提起诉讼。</w:t>
      </w:r>
    </w:p>
    <w:p>
      <w:pPr>
        <w:pStyle w:val="2"/>
        <w:numPr>
          <w:ilvl w:val="0"/>
          <w:numId w:val="1"/>
        </w:numPr>
        <w:tabs>
          <w:tab w:val="left" w:pos="963"/>
        </w:tabs>
        <w:ind w:firstLine="482" w:firstLineChars="200"/>
      </w:pPr>
      <w:r>
        <w:t>附则</w:t>
      </w:r>
    </w:p>
    <w:p>
      <w:pPr>
        <w:pStyle w:val="11"/>
        <w:numPr>
          <w:ilvl w:val="0"/>
          <w:numId w:val="22"/>
        </w:numPr>
        <w:tabs>
          <w:tab w:val="left" w:pos="1020"/>
          <w:tab w:val="clear" w:pos="210"/>
        </w:tabs>
      </w:pPr>
      <w:r>
        <w:t>本协议首部载明的联系地址、联系方式为双方有效送达地址，任何一方变更的须提前3个工作日书面通知对方，否则按原地址送达视为有效送达。</w:t>
      </w:r>
    </w:p>
    <w:p>
      <w:pPr>
        <w:pStyle w:val="11"/>
        <w:numPr>
          <w:ilvl w:val="0"/>
          <w:numId w:val="22"/>
        </w:numPr>
        <w:tabs>
          <w:tab w:val="left" w:pos="1020"/>
          <w:tab w:val="clear" w:pos="210"/>
        </w:tabs>
      </w:pPr>
      <w:r>
        <w:t>本协议未尽事宜，双方可另行签订补充协议，补充协议与本协议具有同等法律效力。</w:t>
      </w:r>
    </w:p>
    <w:p>
      <w:pPr>
        <w:pStyle w:val="11"/>
        <w:numPr>
          <w:ilvl w:val="0"/>
          <w:numId w:val="22"/>
        </w:numPr>
        <w:tabs>
          <w:tab w:val="left" w:pos="1020"/>
          <w:tab w:val="clear" w:pos="210"/>
        </w:tabs>
      </w:pPr>
      <w:r>
        <w:t>本协议一式肆份，甲方执贰份，乙方执贰份，具有同等法律效力，自双方法定代表人或授权代表签字并加盖公章之日起生效。</w:t>
      </w:r>
    </w:p>
    <w:p>
      <w:pPr>
        <w:pStyle w:val="11"/>
        <w:numPr>
          <w:ilvl w:val="0"/>
          <w:numId w:val="22"/>
        </w:numPr>
        <w:tabs>
          <w:tab w:val="left" w:pos="1020"/>
          <w:tab w:val="clear" w:pos="210"/>
        </w:tabs>
      </w:pPr>
      <w:r>
        <w:t>本协议附件：</w:t>
      </w:r>
    </w:p>
    <w:p>
      <w:pPr>
        <w:pStyle w:val="11"/>
        <w:ind w:firstLine="480"/>
      </w:pPr>
      <w:r>
        <w:t>附件1：《GeoEast</w:t>
      </w:r>
      <w:r>
        <w:rPr>
          <w:rFonts w:hint="eastAsia"/>
        </w:rPr>
        <w:t>软件产品经销授权范围》</w:t>
      </w:r>
    </w:p>
    <w:p>
      <w:pPr>
        <w:pStyle w:val="11"/>
        <w:ind w:firstLine="480"/>
      </w:pPr>
      <w:r>
        <w:t>附件2：《GeoEast软件产品技术服务价格表》</w:t>
      </w:r>
    </w:p>
    <w:p>
      <w:pPr>
        <w:pStyle w:val="11"/>
        <w:ind w:firstLine="480"/>
      </w:pPr>
      <w:r>
        <w:t>附件3：《GeoEast软件产品委托销售授权书（模板）》</w:t>
      </w:r>
    </w:p>
    <w:p>
      <w:pPr>
        <w:pStyle w:val="11"/>
        <w:ind w:firstLine="0" w:firstLineChars="0"/>
      </w:pPr>
    </w:p>
    <w:p>
      <w:pPr>
        <w:pStyle w:val="11"/>
        <w:ind w:firstLine="480"/>
      </w:pPr>
      <w:r>
        <w:t>（以下无正文，为签字盖章页）</w:t>
      </w:r>
    </w:p>
    <w:p>
      <w:pPr>
        <w:spacing w:after="120" w:line="300" w:lineRule="auto"/>
        <w:ind w:left="480"/>
        <w:rPr>
          <w:rFonts w:ascii="Times New Roman" w:hAnsi="Times New Roman" w:eastAsia="宋体" w:cs="Times New Roman"/>
          <w:sz w:val="24"/>
        </w:rPr>
      </w:pPr>
      <w:r>
        <w:rPr>
          <w:rFonts w:hint="eastAsia" w:ascii="Times New Roman" w:hAnsi="Times New Roman" w:eastAsia="宋体" w:cs="Times New Roman"/>
          <w:sz w:val="24"/>
        </w:rPr>
        <w:t>甲方（盖章）：________________________</w:t>
      </w:r>
    </w:p>
    <w:p>
      <w:pPr>
        <w:spacing w:after="120" w:line="300" w:lineRule="auto"/>
        <w:ind w:left="480"/>
        <w:rPr>
          <w:rFonts w:ascii="Times New Roman" w:hAnsi="Times New Roman" w:eastAsia="宋体" w:cs="Times New Roman"/>
          <w:sz w:val="24"/>
        </w:rPr>
      </w:pPr>
      <w:r>
        <w:rPr>
          <w:rFonts w:hint="eastAsia" w:ascii="Times New Roman" w:hAnsi="Times New Roman" w:eastAsia="宋体" w:cs="Times New Roman"/>
          <w:sz w:val="24"/>
        </w:rPr>
        <w:t>法定代表人/授权代表（签字）：________</w:t>
      </w:r>
    </w:p>
    <w:p>
      <w:pPr>
        <w:spacing w:after="120" w:line="300" w:lineRule="auto"/>
        <w:ind w:left="480"/>
        <w:rPr>
          <w:rFonts w:ascii="Times New Roman" w:hAnsi="Times New Roman" w:eastAsia="宋体" w:cs="Times New Roman"/>
          <w:sz w:val="24"/>
        </w:rPr>
      </w:pPr>
      <w:r>
        <w:rPr>
          <w:rFonts w:hint="eastAsia" w:ascii="Times New Roman" w:hAnsi="Times New Roman" w:eastAsia="宋体" w:cs="Times New Roman"/>
          <w:sz w:val="24"/>
        </w:rPr>
        <w:t>日期：______年____月____日</w:t>
      </w:r>
    </w:p>
    <w:p>
      <w:pPr>
        <w:spacing w:after="120" w:line="300" w:lineRule="auto"/>
        <w:ind w:left="480"/>
        <w:rPr>
          <w:rFonts w:ascii="Times New Roman" w:hAnsi="Times New Roman" w:eastAsia="宋体" w:cs="Times New Roman"/>
          <w:sz w:val="24"/>
        </w:rPr>
      </w:pPr>
    </w:p>
    <w:p>
      <w:pPr>
        <w:spacing w:after="120" w:line="300" w:lineRule="auto"/>
        <w:ind w:left="480"/>
        <w:rPr>
          <w:rFonts w:ascii="Times New Roman" w:hAnsi="Times New Roman" w:eastAsia="宋体" w:cs="Times New Roman"/>
          <w:sz w:val="24"/>
        </w:rPr>
      </w:pPr>
      <w:r>
        <w:rPr>
          <w:rFonts w:hint="eastAsia" w:ascii="Times New Roman" w:hAnsi="Times New Roman" w:eastAsia="宋体" w:cs="Times New Roman"/>
          <w:sz w:val="24"/>
        </w:rPr>
        <w:t>乙方（盖章）：________________________</w:t>
      </w:r>
    </w:p>
    <w:p>
      <w:pPr>
        <w:spacing w:after="120" w:line="300" w:lineRule="auto"/>
        <w:ind w:left="480"/>
        <w:rPr>
          <w:rFonts w:ascii="Times New Roman" w:hAnsi="Times New Roman" w:eastAsia="宋体" w:cs="Times New Roman"/>
          <w:sz w:val="24"/>
        </w:rPr>
      </w:pPr>
      <w:r>
        <w:rPr>
          <w:rFonts w:hint="eastAsia" w:ascii="Times New Roman" w:hAnsi="Times New Roman" w:eastAsia="宋体" w:cs="Times New Roman"/>
          <w:sz w:val="24"/>
        </w:rPr>
        <w:t>法定代表人/授权代表（签字）：________</w:t>
      </w:r>
    </w:p>
    <w:p>
      <w:pPr>
        <w:spacing w:after="120" w:line="300" w:lineRule="auto"/>
        <w:ind w:left="480"/>
        <w:rPr>
          <w:rFonts w:ascii="Times New Roman" w:hAnsi="Times New Roman" w:eastAsia="宋体" w:cs="Times New Roman"/>
          <w:sz w:val="24"/>
        </w:rPr>
      </w:pPr>
      <w:r>
        <w:rPr>
          <w:rFonts w:hint="eastAsia" w:ascii="Times New Roman" w:hAnsi="Times New Roman" w:eastAsia="宋体" w:cs="Times New Roman"/>
          <w:sz w:val="24"/>
        </w:rPr>
        <w:t>日期：______年____月____日</w:t>
      </w:r>
    </w:p>
    <w:p>
      <w:pPr>
        <w:rPr>
          <w:rFonts w:ascii="Times New Roman" w:hAnsi="Times New Roman" w:eastAsia="宋体" w:cs="Times New Roman"/>
          <w:sz w:val="24"/>
        </w:rPr>
      </w:pPr>
      <w:r>
        <w:rPr>
          <w:rFonts w:hint="eastAsia" w:ascii="Times New Roman" w:hAnsi="Times New Roman" w:eastAsia="宋体" w:cs="Times New Roman"/>
          <w:sz w:val="24"/>
        </w:rPr>
        <w:br w:type="page"/>
      </w:r>
    </w:p>
    <w:p>
      <w:pPr>
        <w:spacing w:after="120" w:line="300" w:lineRule="auto"/>
        <w:rPr>
          <w:rFonts w:hint="eastAsia" w:ascii="方正黑体简体" w:hAnsi="方正黑体简体" w:eastAsia="方正黑体简体" w:cs="方正黑体简体"/>
          <w:sz w:val="32"/>
          <w:szCs w:val="32"/>
          <w:lang w:val="en-US" w:eastAsia="zh-CN"/>
        </w:rPr>
      </w:pPr>
      <w:r>
        <w:rPr>
          <w:rFonts w:hint="eastAsia" w:ascii="方正黑体简体" w:hAnsi="方正黑体简体" w:eastAsia="方正黑体简体" w:cs="方正黑体简体"/>
          <w:sz w:val="32"/>
          <w:szCs w:val="32"/>
        </w:rPr>
        <w:t>附件</w:t>
      </w:r>
      <w:r>
        <w:rPr>
          <w:rFonts w:hint="eastAsia" w:ascii="方正黑体简体" w:hAnsi="方正黑体简体" w:eastAsia="方正黑体简体" w:cs="方正黑体简体"/>
          <w:sz w:val="32"/>
          <w:szCs w:val="32"/>
          <w:lang w:val="en-US" w:eastAsia="zh-CN"/>
        </w:rPr>
        <w:t>2</w:t>
      </w:r>
      <w:r>
        <w:rPr>
          <w:rFonts w:hint="eastAsia" w:ascii="方正黑体简体" w:hAnsi="方正黑体简体" w:eastAsia="方正黑体简体" w:cs="方正黑体简体"/>
          <w:sz w:val="32"/>
          <w:szCs w:val="32"/>
          <w:lang w:val="en-US" w:eastAsia="zh-CN"/>
        </w:rPr>
        <w:t>-</w:t>
      </w:r>
      <w:r>
        <w:rPr>
          <w:rFonts w:hint="eastAsia" w:ascii="方正黑体简体" w:hAnsi="方正黑体简体" w:eastAsia="方正黑体简体" w:cs="方正黑体简体"/>
          <w:sz w:val="32"/>
          <w:szCs w:val="32"/>
          <w:lang w:val="en-US" w:eastAsia="zh-CN"/>
        </w:rPr>
        <w:t>1</w:t>
      </w:r>
    </w:p>
    <w:p>
      <w:pPr>
        <w:spacing w:after="120" w:line="300" w:lineRule="auto"/>
        <w:jc w:val="center"/>
        <w:rPr>
          <w:rFonts w:ascii="Times New Roman" w:hAnsi="Times New Roman" w:eastAsia="宋体" w:cs="Times New Roman"/>
          <w:sz w:val="24"/>
        </w:rPr>
      </w:pPr>
      <w:r>
        <w:rPr>
          <w:rFonts w:hint="eastAsia" w:ascii="Times New Roman" w:hAnsi="Times New Roman" w:eastAsia="宋体" w:cs="Times New Roman"/>
          <w:b/>
          <w:bCs/>
          <w:sz w:val="32"/>
          <w:szCs w:val="32"/>
        </w:rPr>
        <w:t>经销授权范围</w:t>
      </w:r>
    </w:p>
    <w:tbl>
      <w:tblPr>
        <w:tblStyle w:val="17"/>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4536"/>
        <w:gridCol w:w="3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817" w:type="dxa"/>
          </w:tcPr>
          <w:p>
            <w:pPr>
              <w:spacing w:line="360" w:lineRule="auto"/>
              <w:jc w:val="center"/>
              <w:rPr>
                <w:rFonts w:ascii="宋体" w:hAnsi="宋体"/>
                <w:b/>
                <w:sz w:val="24"/>
              </w:rPr>
            </w:pPr>
            <w:r>
              <w:rPr>
                <w:rFonts w:hint="eastAsia" w:ascii="宋体" w:hAnsi="宋体"/>
                <w:b/>
                <w:sz w:val="24"/>
              </w:rPr>
              <w:t>序号</w:t>
            </w:r>
          </w:p>
        </w:tc>
        <w:tc>
          <w:tcPr>
            <w:tcW w:w="4536" w:type="dxa"/>
          </w:tcPr>
          <w:p>
            <w:pPr>
              <w:spacing w:line="360" w:lineRule="auto"/>
              <w:jc w:val="center"/>
              <w:rPr>
                <w:rFonts w:ascii="宋体" w:hAnsi="宋体"/>
                <w:b/>
                <w:sz w:val="24"/>
              </w:rPr>
            </w:pPr>
            <w:r>
              <w:rPr>
                <w:rFonts w:hint="eastAsia" w:ascii="宋体" w:hAnsi="宋体"/>
                <w:b/>
                <w:sz w:val="24"/>
              </w:rPr>
              <w:t>企业名称</w:t>
            </w:r>
          </w:p>
        </w:tc>
        <w:tc>
          <w:tcPr>
            <w:tcW w:w="3260" w:type="dxa"/>
          </w:tcPr>
          <w:p>
            <w:pPr>
              <w:spacing w:line="360" w:lineRule="auto"/>
              <w:jc w:val="center"/>
              <w:rPr>
                <w:rFonts w:ascii="宋体" w:hAnsi="宋体"/>
                <w:b/>
                <w:sz w:val="24"/>
              </w:rPr>
            </w:pPr>
            <w:r>
              <w:rPr>
                <w:rFonts w:hint="eastAsia" w:ascii="宋体" w:hAnsi="宋体"/>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817" w:type="dxa"/>
            <w:vAlign w:val="center"/>
          </w:tcPr>
          <w:p>
            <w:pPr>
              <w:spacing w:line="360" w:lineRule="auto"/>
              <w:jc w:val="center"/>
              <w:rPr>
                <w:rFonts w:ascii="宋体" w:hAnsi="宋体"/>
                <w:sz w:val="24"/>
              </w:rPr>
            </w:pPr>
          </w:p>
        </w:tc>
        <w:tc>
          <w:tcPr>
            <w:tcW w:w="4536" w:type="dxa"/>
            <w:vAlign w:val="center"/>
          </w:tcPr>
          <w:p>
            <w:pPr>
              <w:spacing w:line="360" w:lineRule="auto"/>
              <w:rPr>
                <w:rFonts w:ascii="宋体" w:hAnsi="宋体"/>
                <w:sz w:val="24"/>
              </w:rPr>
            </w:pPr>
          </w:p>
        </w:tc>
        <w:tc>
          <w:tcPr>
            <w:tcW w:w="326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817" w:type="dxa"/>
            <w:vAlign w:val="center"/>
          </w:tcPr>
          <w:p>
            <w:pPr>
              <w:spacing w:line="360" w:lineRule="auto"/>
              <w:jc w:val="center"/>
              <w:rPr>
                <w:rFonts w:ascii="宋体" w:hAnsi="宋体"/>
                <w:sz w:val="24"/>
              </w:rPr>
            </w:pPr>
          </w:p>
        </w:tc>
        <w:tc>
          <w:tcPr>
            <w:tcW w:w="4536" w:type="dxa"/>
            <w:vAlign w:val="center"/>
          </w:tcPr>
          <w:p>
            <w:pPr>
              <w:spacing w:line="360" w:lineRule="auto"/>
              <w:rPr>
                <w:rFonts w:ascii="宋体" w:hAnsi="宋体"/>
                <w:sz w:val="24"/>
              </w:rPr>
            </w:pPr>
          </w:p>
        </w:tc>
        <w:tc>
          <w:tcPr>
            <w:tcW w:w="326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817" w:type="dxa"/>
            <w:vAlign w:val="center"/>
          </w:tcPr>
          <w:p>
            <w:pPr>
              <w:spacing w:line="360" w:lineRule="auto"/>
              <w:jc w:val="center"/>
              <w:rPr>
                <w:rFonts w:ascii="宋体" w:hAnsi="宋体"/>
                <w:sz w:val="24"/>
              </w:rPr>
            </w:pPr>
          </w:p>
        </w:tc>
        <w:tc>
          <w:tcPr>
            <w:tcW w:w="4536" w:type="dxa"/>
            <w:vAlign w:val="center"/>
          </w:tcPr>
          <w:p>
            <w:pPr>
              <w:spacing w:line="360" w:lineRule="auto"/>
              <w:rPr>
                <w:rFonts w:ascii="宋体" w:hAnsi="宋体"/>
                <w:sz w:val="24"/>
              </w:rPr>
            </w:pPr>
          </w:p>
        </w:tc>
        <w:tc>
          <w:tcPr>
            <w:tcW w:w="326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817" w:type="dxa"/>
            <w:vAlign w:val="center"/>
          </w:tcPr>
          <w:p>
            <w:pPr>
              <w:spacing w:line="360" w:lineRule="auto"/>
              <w:jc w:val="center"/>
              <w:rPr>
                <w:rFonts w:ascii="宋体" w:hAnsi="宋体"/>
                <w:sz w:val="24"/>
              </w:rPr>
            </w:pPr>
          </w:p>
        </w:tc>
        <w:tc>
          <w:tcPr>
            <w:tcW w:w="4536" w:type="dxa"/>
            <w:vAlign w:val="center"/>
          </w:tcPr>
          <w:p>
            <w:pPr>
              <w:spacing w:line="360" w:lineRule="auto"/>
              <w:rPr>
                <w:rFonts w:ascii="宋体" w:hAnsi="宋体"/>
                <w:sz w:val="24"/>
              </w:rPr>
            </w:pPr>
          </w:p>
        </w:tc>
        <w:tc>
          <w:tcPr>
            <w:tcW w:w="326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817" w:type="dxa"/>
            <w:vAlign w:val="center"/>
          </w:tcPr>
          <w:p>
            <w:pPr>
              <w:spacing w:line="360" w:lineRule="auto"/>
              <w:jc w:val="center"/>
              <w:rPr>
                <w:rFonts w:ascii="宋体" w:hAnsi="宋体"/>
                <w:sz w:val="24"/>
              </w:rPr>
            </w:pPr>
          </w:p>
        </w:tc>
        <w:tc>
          <w:tcPr>
            <w:tcW w:w="4536" w:type="dxa"/>
            <w:vAlign w:val="center"/>
          </w:tcPr>
          <w:p>
            <w:pPr>
              <w:spacing w:line="360" w:lineRule="auto"/>
              <w:rPr>
                <w:rFonts w:ascii="宋体" w:hAnsi="宋体"/>
                <w:sz w:val="24"/>
              </w:rPr>
            </w:pPr>
          </w:p>
        </w:tc>
        <w:tc>
          <w:tcPr>
            <w:tcW w:w="326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817" w:type="dxa"/>
            <w:vAlign w:val="center"/>
          </w:tcPr>
          <w:p>
            <w:pPr>
              <w:spacing w:line="360" w:lineRule="auto"/>
              <w:jc w:val="center"/>
              <w:rPr>
                <w:rFonts w:ascii="宋体" w:hAnsi="宋体"/>
                <w:sz w:val="24"/>
              </w:rPr>
            </w:pPr>
          </w:p>
        </w:tc>
        <w:tc>
          <w:tcPr>
            <w:tcW w:w="4536" w:type="dxa"/>
            <w:vAlign w:val="center"/>
          </w:tcPr>
          <w:p>
            <w:pPr>
              <w:spacing w:line="360" w:lineRule="auto"/>
              <w:rPr>
                <w:rFonts w:ascii="宋体" w:hAnsi="宋体"/>
                <w:sz w:val="24"/>
              </w:rPr>
            </w:pPr>
          </w:p>
        </w:tc>
        <w:tc>
          <w:tcPr>
            <w:tcW w:w="326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817" w:type="dxa"/>
            <w:vAlign w:val="center"/>
          </w:tcPr>
          <w:p>
            <w:pPr>
              <w:spacing w:line="360" w:lineRule="auto"/>
              <w:jc w:val="center"/>
              <w:rPr>
                <w:rFonts w:ascii="宋体" w:hAnsi="宋体"/>
                <w:sz w:val="24"/>
              </w:rPr>
            </w:pPr>
          </w:p>
        </w:tc>
        <w:tc>
          <w:tcPr>
            <w:tcW w:w="4536" w:type="dxa"/>
            <w:vAlign w:val="center"/>
          </w:tcPr>
          <w:p>
            <w:pPr>
              <w:spacing w:line="360" w:lineRule="auto"/>
              <w:rPr>
                <w:rFonts w:ascii="宋体" w:hAnsi="宋体"/>
                <w:sz w:val="24"/>
              </w:rPr>
            </w:pPr>
          </w:p>
        </w:tc>
        <w:tc>
          <w:tcPr>
            <w:tcW w:w="3260" w:type="dxa"/>
            <w:vAlign w:val="center"/>
          </w:tcPr>
          <w:p>
            <w:pPr>
              <w:spacing w:line="360" w:lineRule="auto"/>
              <w:rPr>
                <w:rFonts w:ascii="宋体" w:hAnsi="宋体"/>
                <w:sz w:val="24"/>
              </w:rPr>
            </w:pPr>
          </w:p>
        </w:tc>
      </w:tr>
    </w:tbl>
    <w:p>
      <w:pPr>
        <w:spacing w:after="120" w:line="300" w:lineRule="auto"/>
        <w:rPr>
          <w:rFonts w:ascii="Times New Roman" w:hAnsi="Times New Roman" w:eastAsia="宋体" w:cs="Times New Roman"/>
          <w:sz w:val="24"/>
        </w:rPr>
      </w:pPr>
    </w:p>
    <w:p>
      <w:pPr>
        <w:rPr>
          <w:rFonts w:ascii="Times New Roman" w:hAnsi="Times New Roman" w:eastAsia="宋体" w:cs="Times New Roman"/>
          <w:sz w:val="24"/>
        </w:rPr>
      </w:pPr>
      <w:r>
        <w:rPr>
          <w:rFonts w:ascii="Times New Roman" w:hAnsi="Times New Roman" w:eastAsia="宋体" w:cs="Times New Roman"/>
          <w:sz w:val="24"/>
        </w:rPr>
        <w:br w:type="page"/>
      </w:r>
    </w:p>
    <w:p>
      <w:pPr>
        <w:spacing w:after="120" w:line="300" w:lineRule="auto"/>
        <w:rPr>
          <w:rFonts w:hint="default" w:ascii="方正黑体简体" w:hAnsi="方正黑体简体" w:eastAsia="方正黑体简体" w:cs="方正黑体简体"/>
          <w:sz w:val="32"/>
          <w:szCs w:val="32"/>
          <w:lang w:val="en-US" w:eastAsia="zh-CN"/>
        </w:rPr>
      </w:pPr>
      <w:r>
        <w:rPr>
          <w:rFonts w:hint="eastAsia" w:ascii="方正黑体简体" w:hAnsi="方正黑体简体" w:eastAsia="方正黑体简体" w:cs="方正黑体简体"/>
          <w:sz w:val="32"/>
          <w:szCs w:val="32"/>
        </w:rPr>
        <w:t>附件2</w:t>
      </w:r>
      <w:r>
        <w:rPr>
          <w:rFonts w:hint="eastAsia" w:ascii="方正黑体简体" w:hAnsi="方正黑体简体" w:eastAsia="方正黑体简体" w:cs="方正黑体简体"/>
          <w:sz w:val="32"/>
          <w:szCs w:val="32"/>
          <w:lang w:val="en-US" w:eastAsia="zh-CN"/>
        </w:rPr>
        <w:t>-2</w:t>
      </w:r>
    </w:p>
    <w:p>
      <w:pPr>
        <w:pStyle w:val="11"/>
        <w:ind w:firstLine="560"/>
        <w:jc w:val="center"/>
      </w:pPr>
      <w:r>
        <w:rPr>
          <w:rFonts w:hint="eastAsia" w:asciiTheme="majorEastAsia" w:hAnsiTheme="majorEastAsia" w:eastAsiaTheme="majorEastAsia" w:cstheme="majorEastAsia"/>
          <w:sz w:val="28"/>
          <w:szCs w:val="21"/>
        </w:rPr>
        <w:t>GeoEast软件产品技术服务价格表</w:t>
      </w:r>
    </w:p>
    <w:tbl>
      <w:tblPr>
        <w:tblStyle w:val="16"/>
        <w:tblpPr w:leftFromText="180" w:rightFromText="180" w:vertAnchor="text" w:horzAnchor="page" w:tblpX="2198" w:tblpY="43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1"/>
        <w:gridCol w:w="2211"/>
        <w:gridCol w:w="1871"/>
        <w:gridCol w:w="1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7" w:hRule="atLeast"/>
        </w:trPr>
        <w:tc>
          <w:tcPr>
            <w:tcW w:w="1701" w:type="dxa"/>
            <w:vAlign w:val="center"/>
          </w:tcPr>
          <w:p>
            <w:pPr>
              <w:jc w:val="center"/>
              <w:rPr>
                <w:rFonts w:ascii="宋体" w:hAnsi="宋体"/>
                <w:b/>
                <w:sz w:val="24"/>
              </w:rPr>
            </w:pPr>
            <w:r>
              <w:rPr>
                <w:rFonts w:hint="eastAsia" w:ascii="宋体" w:hAnsi="宋体"/>
                <w:b/>
                <w:sz w:val="24"/>
              </w:rPr>
              <w:t>服务项目</w:t>
            </w:r>
          </w:p>
        </w:tc>
        <w:tc>
          <w:tcPr>
            <w:tcW w:w="2211" w:type="dxa"/>
            <w:vAlign w:val="center"/>
          </w:tcPr>
          <w:p>
            <w:pPr>
              <w:jc w:val="center"/>
              <w:rPr>
                <w:rFonts w:ascii="宋体" w:hAnsi="宋体"/>
                <w:b/>
                <w:sz w:val="24"/>
              </w:rPr>
            </w:pPr>
            <w:r>
              <w:rPr>
                <w:rFonts w:hint="eastAsia" w:ascii="宋体" w:hAnsi="宋体"/>
                <w:b/>
                <w:sz w:val="24"/>
              </w:rPr>
              <w:t>国内</w:t>
            </w:r>
          </w:p>
          <w:p>
            <w:pPr>
              <w:jc w:val="center"/>
              <w:rPr>
                <w:rFonts w:ascii="宋体" w:hAnsi="宋体"/>
                <w:b/>
                <w:sz w:val="24"/>
              </w:rPr>
            </w:pPr>
            <w:r>
              <w:rPr>
                <w:rFonts w:hint="eastAsia" w:ascii="宋体" w:hAnsi="宋体"/>
                <w:b/>
                <w:sz w:val="24"/>
              </w:rPr>
              <w:t>(单位：人民币元</w:t>
            </w:r>
            <w:r>
              <w:rPr>
                <w:rFonts w:ascii="宋体" w:hAnsi="宋体"/>
                <w:b/>
                <w:sz w:val="24"/>
              </w:rPr>
              <w:t>)</w:t>
            </w:r>
          </w:p>
        </w:tc>
        <w:tc>
          <w:tcPr>
            <w:tcW w:w="1871" w:type="dxa"/>
            <w:vAlign w:val="center"/>
          </w:tcPr>
          <w:p>
            <w:pPr>
              <w:jc w:val="center"/>
              <w:rPr>
                <w:rFonts w:ascii="宋体" w:hAnsi="宋体"/>
                <w:b/>
                <w:sz w:val="24"/>
              </w:rPr>
            </w:pPr>
            <w:r>
              <w:rPr>
                <w:rFonts w:hint="eastAsia" w:ascii="宋体" w:hAnsi="宋体"/>
                <w:b/>
                <w:sz w:val="24"/>
              </w:rPr>
              <w:t>国外</w:t>
            </w:r>
          </w:p>
          <w:p>
            <w:pPr>
              <w:jc w:val="center"/>
              <w:rPr>
                <w:rFonts w:ascii="宋体" w:hAnsi="宋体"/>
                <w:b/>
                <w:sz w:val="24"/>
              </w:rPr>
            </w:pPr>
            <w:r>
              <w:rPr>
                <w:rFonts w:hint="eastAsia" w:ascii="宋体" w:hAnsi="宋体"/>
                <w:b/>
                <w:sz w:val="24"/>
              </w:rPr>
              <w:t>（单位：美元）</w:t>
            </w:r>
          </w:p>
        </w:tc>
        <w:tc>
          <w:tcPr>
            <w:tcW w:w="1928" w:type="dxa"/>
            <w:vAlign w:val="center"/>
          </w:tcPr>
          <w:p>
            <w:pPr>
              <w:jc w:val="center"/>
              <w:rPr>
                <w:rFonts w:ascii="宋体" w:hAnsi="宋体"/>
                <w:b/>
                <w:sz w:val="24"/>
              </w:rPr>
            </w:pPr>
            <w:r>
              <w:rPr>
                <w:rFonts w:hint="eastAsia" w:ascii="宋体" w:hAnsi="宋体"/>
                <w:b/>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4" w:hRule="atLeast"/>
        </w:trPr>
        <w:tc>
          <w:tcPr>
            <w:tcW w:w="1701" w:type="dxa"/>
            <w:vAlign w:val="center"/>
          </w:tcPr>
          <w:p>
            <w:pPr>
              <w:jc w:val="center"/>
              <w:rPr>
                <w:rFonts w:ascii="宋体" w:hAnsi="宋体"/>
                <w:sz w:val="24"/>
              </w:rPr>
            </w:pPr>
            <w:r>
              <w:rPr>
                <w:rFonts w:hint="eastAsia" w:ascii="宋体" w:hAnsi="宋体"/>
                <w:sz w:val="24"/>
              </w:rPr>
              <w:t>软件安装</w:t>
            </w:r>
          </w:p>
        </w:tc>
        <w:tc>
          <w:tcPr>
            <w:tcW w:w="2211" w:type="dxa"/>
            <w:vAlign w:val="center"/>
          </w:tcPr>
          <w:p>
            <w:pPr>
              <w:jc w:val="center"/>
              <w:rPr>
                <w:rFonts w:ascii="宋体" w:hAnsi="宋体"/>
                <w:sz w:val="24"/>
              </w:rPr>
            </w:pPr>
            <w:r>
              <w:rPr>
                <w:rFonts w:ascii="宋体" w:hAnsi="宋体"/>
                <w:sz w:val="24"/>
              </w:rPr>
              <w:t>2</w:t>
            </w:r>
            <w:r>
              <w:rPr>
                <w:rFonts w:hint="eastAsia" w:ascii="宋体" w:hAnsi="宋体"/>
                <w:sz w:val="24"/>
              </w:rPr>
              <w:t>0,</w:t>
            </w:r>
            <w:r>
              <w:rPr>
                <w:rFonts w:ascii="宋体" w:hAnsi="宋体"/>
                <w:sz w:val="24"/>
              </w:rPr>
              <w:t>000</w:t>
            </w:r>
            <w:r>
              <w:rPr>
                <w:rFonts w:hint="eastAsia" w:ascii="宋体" w:hAnsi="宋体"/>
                <w:sz w:val="24"/>
              </w:rPr>
              <w:t>元/人次</w:t>
            </w:r>
          </w:p>
        </w:tc>
        <w:tc>
          <w:tcPr>
            <w:tcW w:w="1871" w:type="dxa"/>
            <w:vAlign w:val="center"/>
          </w:tcPr>
          <w:p>
            <w:pPr>
              <w:jc w:val="center"/>
              <w:rPr>
                <w:rFonts w:ascii="宋体" w:hAnsi="宋体"/>
                <w:sz w:val="24"/>
              </w:rPr>
            </w:pPr>
            <w:r>
              <w:rPr>
                <w:rFonts w:ascii="宋体" w:hAnsi="宋体"/>
                <w:sz w:val="24"/>
              </w:rPr>
              <w:t>$20,000</w:t>
            </w:r>
            <w:r>
              <w:rPr>
                <w:rFonts w:hint="eastAsia" w:ascii="宋体" w:hAnsi="宋体"/>
                <w:sz w:val="24"/>
              </w:rPr>
              <w:t>/人次</w:t>
            </w:r>
          </w:p>
        </w:tc>
        <w:tc>
          <w:tcPr>
            <w:tcW w:w="1928" w:type="dxa"/>
            <w:vMerge w:val="restart"/>
            <w:vAlign w:val="center"/>
          </w:tcPr>
          <w:p>
            <w:pPr>
              <w:rPr>
                <w:rFonts w:ascii="宋体" w:hAnsi="宋体"/>
                <w:sz w:val="24"/>
              </w:rPr>
            </w:pPr>
            <w:r>
              <w:rPr>
                <w:rFonts w:hint="eastAsia" w:ascii="宋体" w:hAnsi="宋体"/>
                <w:sz w:val="24"/>
              </w:rPr>
              <w:t>不含往返大交通费，具体交通费用双方按距离及服务人数预估协商执行。</w:t>
            </w:r>
          </w:p>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4" w:hRule="atLeast"/>
        </w:trPr>
        <w:tc>
          <w:tcPr>
            <w:tcW w:w="1701" w:type="dxa"/>
            <w:vAlign w:val="center"/>
          </w:tcPr>
          <w:p>
            <w:pPr>
              <w:jc w:val="center"/>
              <w:rPr>
                <w:rFonts w:ascii="宋体" w:hAnsi="宋体"/>
                <w:sz w:val="24"/>
              </w:rPr>
            </w:pPr>
            <w:r>
              <w:rPr>
                <w:rFonts w:hint="eastAsia" w:ascii="宋体" w:hAnsi="宋体"/>
                <w:sz w:val="24"/>
              </w:rPr>
              <w:t>软件移机</w:t>
            </w:r>
          </w:p>
        </w:tc>
        <w:tc>
          <w:tcPr>
            <w:tcW w:w="2211" w:type="dxa"/>
            <w:vAlign w:val="center"/>
          </w:tcPr>
          <w:p>
            <w:pPr>
              <w:jc w:val="center"/>
              <w:rPr>
                <w:rFonts w:ascii="宋体" w:hAnsi="宋体"/>
                <w:sz w:val="24"/>
              </w:rPr>
            </w:pPr>
            <w:r>
              <w:rPr>
                <w:rFonts w:ascii="宋体" w:hAnsi="宋体"/>
                <w:sz w:val="24"/>
              </w:rPr>
              <w:t>2</w:t>
            </w:r>
            <w:r>
              <w:rPr>
                <w:rFonts w:hint="eastAsia" w:ascii="宋体" w:hAnsi="宋体"/>
                <w:sz w:val="24"/>
              </w:rPr>
              <w:t>0,</w:t>
            </w:r>
            <w:r>
              <w:rPr>
                <w:rFonts w:ascii="宋体" w:hAnsi="宋体"/>
                <w:sz w:val="24"/>
              </w:rPr>
              <w:t>000</w:t>
            </w:r>
            <w:r>
              <w:rPr>
                <w:rFonts w:hint="eastAsia" w:ascii="宋体" w:hAnsi="宋体"/>
                <w:sz w:val="24"/>
              </w:rPr>
              <w:t>元/人次</w:t>
            </w:r>
          </w:p>
        </w:tc>
        <w:tc>
          <w:tcPr>
            <w:tcW w:w="1871" w:type="dxa"/>
            <w:vAlign w:val="center"/>
          </w:tcPr>
          <w:p>
            <w:pPr>
              <w:jc w:val="center"/>
              <w:rPr>
                <w:rFonts w:ascii="宋体" w:hAnsi="宋体"/>
                <w:sz w:val="24"/>
              </w:rPr>
            </w:pPr>
            <w:r>
              <w:rPr>
                <w:rFonts w:ascii="宋体" w:hAnsi="宋体"/>
                <w:sz w:val="24"/>
              </w:rPr>
              <w:t>$20,000/</w:t>
            </w:r>
            <w:r>
              <w:rPr>
                <w:rFonts w:hint="eastAsia" w:ascii="宋体" w:hAnsi="宋体"/>
                <w:sz w:val="24"/>
              </w:rPr>
              <w:t>人次</w:t>
            </w:r>
          </w:p>
        </w:tc>
        <w:tc>
          <w:tcPr>
            <w:tcW w:w="1928" w:type="dxa"/>
            <w:vMerge w:val="continue"/>
            <w:vAlign w:val="center"/>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4" w:hRule="atLeast"/>
        </w:trPr>
        <w:tc>
          <w:tcPr>
            <w:tcW w:w="1701" w:type="dxa"/>
            <w:vAlign w:val="center"/>
          </w:tcPr>
          <w:p>
            <w:pPr>
              <w:jc w:val="center"/>
              <w:rPr>
                <w:rFonts w:ascii="宋体" w:hAnsi="宋体"/>
                <w:sz w:val="24"/>
              </w:rPr>
            </w:pPr>
            <w:r>
              <w:rPr>
                <w:rFonts w:hint="eastAsia" w:ascii="宋体" w:hAnsi="宋体"/>
                <w:sz w:val="24"/>
              </w:rPr>
              <w:t>现场培训</w:t>
            </w:r>
          </w:p>
        </w:tc>
        <w:tc>
          <w:tcPr>
            <w:tcW w:w="2211" w:type="dxa"/>
            <w:vAlign w:val="center"/>
          </w:tcPr>
          <w:p>
            <w:pPr>
              <w:jc w:val="center"/>
              <w:rPr>
                <w:rFonts w:ascii="宋体" w:hAnsi="宋体"/>
                <w:sz w:val="24"/>
              </w:rPr>
            </w:pPr>
            <w:r>
              <w:rPr>
                <w:rFonts w:ascii="宋体" w:hAnsi="宋体"/>
                <w:sz w:val="24"/>
              </w:rPr>
              <w:t>6</w:t>
            </w:r>
            <w:r>
              <w:rPr>
                <w:rFonts w:hint="eastAsia" w:ascii="宋体" w:hAnsi="宋体"/>
                <w:sz w:val="24"/>
              </w:rPr>
              <w:t>,</w:t>
            </w:r>
            <w:r>
              <w:rPr>
                <w:rFonts w:ascii="宋体" w:hAnsi="宋体"/>
                <w:sz w:val="24"/>
              </w:rPr>
              <w:t>000</w:t>
            </w:r>
            <w:r>
              <w:rPr>
                <w:rFonts w:hint="eastAsia" w:ascii="宋体" w:hAnsi="宋体"/>
                <w:sz w:val="24"/>
              </w:rPr>
              <w:t>元</w:t>
            </w:r>
            <w:r>
              <w:rPr>
                <w:rFonts w:ascii="宋体" w:hAnsi="宋体"/>
                <w:sz w:val="24"/>
              </w:rPr>
              <w:t>/</w:t>
            </w:r>
            <w:r>
              <w:rPr>
                <w:rFonts w:hint="eastAsia" w:ascii="宋体" w:hAnsi="宋体"/>
                <w:sz w:val="24"/>
              </w:rPr>
              <w:t>人天</w:t>
            </w:r>
          </w:p>
        </w:tc>
        <w:tc>
          <w:tcPr>
            <w:tcW w:w="1871" w:type="dxa"/>
            <w:vAlign w:val="center"/>
          </w:tcPr>
          <w:p>
            <w:pPr>
              <w:jc w:val="center"/>
              <w:rPr>
                <w:rFonts w:ascii="宋体" w:hAnsi="宋体"/>
                <w:sz w:val="24"/>
              </w:rPr>
            </w:pPr>
            <w:r>
              <w:rPr>
                <w:rFonts w:ascii="宋体" w:hAnsi="宋体"/>
                <w:sz w:val="24"/>
              </w:rPr>
              <w:t>$2,000/</w:t>
            </w:r>
            <w:r>
              <w:rPr>
                <w:rFonts w:hint="eastAsia" w:ascii="宋体" w:hAnsi="宋体"/>
                <w:sz w:val="24"/>
              </w:rPr>
              <w:t>人天</w:t>
            </w:r>
          </w:p>
        </w:tc>
        <w:tc>
          <w:tcPr>
            <w:tcW w:w="1928" w:type="dxa"/>
            <w:vMerge w:val="continue"/>
            <w:vAlign w:val="center"/>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8" w:hRule="atLeast"/>
        </w:trPr>
        <w:tc>
          <w:tcPr>
            <w:tcW w:w="1701" w:type="dxa"/>
            <w:vAlign w:val="center"/>
          </w:tcPr>
          <w:p>
            <w:pPr>
              <w:jc w:val="center"/>
              <w:rPr>
                <w:rFonts w:ascii="宋体" w:hAnsi="宋体"/>
                <w:sz w:val="24"/>
              </w:rPr>
            </w:pPr>
            <w:r>
              <w:rPr>
                <w:rFonts w:hint="eastAsia" w:ascii="宋体" w:hAnsi="宋体"/>
                <w:sz w:val="24"/>
              </w:rPr>
              <w:t>现场技术支持</w:t>
            </w:r>
          </w:p>
        </w:tc>
        <w:tc>
          <w:tcPr>
            <w:tcW w:w="2211" w:type="dxa"/>
            <w:vAlign w:val="center"/>
          </w:tcPr>
          <w:p>
            <w:pPr>
              <w:jc w:val="center"/>
              <w:rPr>
                <w:rFonts w:ascii="宋体" w:hAnsi="宋体"/>
                <w:sz w:val="24"/>
              </w:rPr>
            </w:pPr>
            <w:r>
              <w:rPr>
                <w:rFonts w:ascii="宋体" w:hAnsi="宋体"/>
                <w:sz w:val="24"/>
              </w:rPr>
              <w:t>5</w:t>
            </w:r>
            <w:r>
              <w:rPr>
                <w:rFonts w:hint="eastAsia" w:ascii="宋体" w:hAnsi="宋体"/>
                <w:sz w:val="24"/>
              </w:rPr>
              <w:t>,</w:t>
            </w:r>
            <w:r>
              <w:rPr>
                <w:rFonts w:ascii="宋体" w:hAnsi="宋体"/>
                <w:sz w:val="24"/>
              </w:rPr>
              <w:t>000</w:t>
            </w:r>
            <w:r>
              <w:rPr>
                <w:rFonts w:hint="eastAsia" w:ascii="宋体" w:hAnsi="宋体"/>
                <w:sz w:val="24"/>
              </w:rPr>
              <w:t>元</w:t>
            </w:r>
            <w:r>
              <w:rPr>
                <w:rFonts w:ascii="宋体" w:hAnsi="宋体"/>
                <w:sz w:val="24"/>
              </w:rPr>
              <w:t>/</w:t>
            </w:r>
            <w:r>
              <w:rPr>
                <w:rFonts w:hint="eastAsia" w:ascii="宋体" w:hAnsi="宋体"/>
                <w:sz w:val="24"/>
              </w:rPr>
              <w:t>人天</w:t>
            </w:r>
          </w:p>
        </w:tc>
        <w:tc>
          <w:tcPr>
            <w:tcW w:w="1871" w:type="dxa"/>
            <w:vAlign w:val="center"/>
          </w:tcPr>
          <w:p>
            <w:pPr>
              <w:jc w:val="center"/>
              <w:rPr>
                <w:rFonts w:ascii="宋体" w:hAnsi="宋体"/>
                <w:sz w:val="24"/>
              </w:rPr>
            </w:pPr>
            <w:r>
              <w:rPr>
                <w:rFonts w:ascii="宋体" w:hAnsi="宋体"/>
                <w:sz w:val="24"/>
              </w:rPr>
              <w:t>$2,000/</w:t>
            </w:r>
            <w:r>
              <w:rPr>
                <w:rFonts w:hint="eastAsia" w:ascii="宋体" w:hAnsi="宋体"/>
                <w:sz w:val="24"/>
              </w:rPr>
              <w:t>人天</w:t>
            </w:r>
          </w:p>
        </w:tc>
        <w:tc>
          <w:tcPr>
            <w:tcW w:w="1928" w:type="dxa"/>
            <w:vMerge w:val="continue"/>
            <w:vAlign w:val="center"/>
          </w:tcPr>
          <w:p>
            <w:pPr>
              <w:rPr>
                <w:rFonts w:ascii="宋体" w:hAnsi="宋体"/>
                <w:sz w:val="24"/>
              </w:rPr>
            </w:pPr>
          </w:p>
        </w:tc>
      </w:tr>
    </w:tbl>
    <w:p>
      <w:pPr>
        <w:pStyle w:val="11"/>
        <w:spacing w:after="0" w:line="240" w:lineRule="auto"/>
        <w:ind w:firstLine="0" w:firstLineChars="0"/>
      </w:pPr>
    </w:p>
    <w:p>
      <w:pPr>
        <w:pStyle w:val="11"/>
        <w:spacing w:after="0" w:line="240" w:lineRule="auto"/>
        <w:ind w:firstLine="0" w:firstLineChars="0"/>
      </w:pPr>
    </w:p>
    <w:p>
      <w:pPr>
        <w:ind w:firstLine="720" w:firstLineChars="300"/>
        <w:rPr>
          <w:sz w:val="24"/>
        </w:rPr>
      </w:pPr>
      <w:r>
        <w:rPr>
          <w:rFonts w:hint="eastAsia"/>
          <w:sz w:val="24"/>
        </w:rPr>
        <w:t>注：未尽事宜双方协商执行。</w:t>
      </w:r>
    </w:p>
    <w:p>
      <w:pPr>
        <w:rPr>
          <w:sz w:val="24"/>
        </w:rPr>
      </w:pPr>
      <w:r>
        <w:rPr>
          <w:rFonts w:hint="eastAsia"/>
          <w:sz w:val="24"/>
        </w:rPr>
        <w:br w:type="page"/>
      </w:r>
    </w:p>
    <w:p>
      <w:pPr>
        <w:spacing w:after="120" w:line="300" w:lineRule="auto"/>
        <w:rPr>
          <w:rFonts w:hint="eastAsia"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附件</w:t>
      </w:r>
      <w:r>
        <w:rPr>
          <w:rFonts w:hint="eastAsia" w:ascii="方正黑体简体" w:hAnsi="方正黑体简体" w:eastAsia="方正黑体简体" w:cs="方正黑体简体"/>
          <w:sz w:val="32"/>
          <w:szCs w:val="32"/>
          <w:lang w:val="en-US" w:eastAsia="zh-CN"/>
        </w:rPr>
        <w:t>2-</w:t>
      </w:r>
      <w:r>
        <w:rPr>
          <w:rFonts w:hint="eastAsia" w:ascii="方正黑体简体" w:hAnsi="方正黑体简体" w:eastAsia="方正黑体简体" w:cs="方正黑体简体"/>
          <w:sz w:val="32"/>
          <w:szCs w:val="32"/>
        </w:rPr>
        <w:t>3</w:t>
      </w:r>
    </w:p>
    <w:p/>
    <w:p>
      <w:pPr>
        <w:jc w:val="center"/>
        <w:outlineLvl w:val="0"/>
        <w:rPr>
          <w:b/>
          <w:bCs/>
          <w:sz w:val="32"/>
          <w:szCs w:val="28"/>
        </w:rPr>
      </w:pPr>
      <w:r>
        <w:rPr>
          <w:rFonts w:hint="eastAsia"/>
          <w:b/>
          <w:bCs/>
          <w:sz w:val="32"/>
          <w:szCs w:val="28"/>
        </w:rPr>
        <w:t>GeoEast软件产品委托销售授权书</w:t>
      </w:r>
    </w:p>
    <w:p/>
    <w:p>
      <w:pPr>
        <w:rPr>
          <w:rFonts w:ascii="仿宋" w:hAnsi="仿宋" w:eastAsia="仿宋" w:cs="仿宋"/>
          <w:sz w:val="32"/>
          <w:szCs w:val="28"/>
        </w:rPr>
      </w:pPr>
      <w:r>
        <w:rPr>
          <w:rFonts w:hint="eastAsia" w:ascii="仿宋" w:hAnsi="仿宋" w:eastAsia="仿宋" w:cs="仿宋"/>
          <w:sz w:val="32"/>
          <w:szCs w:val="28"/>
        </w:rPr>
        <w:t xml:space="preserve">     根据</w:t>
      </w:r>
      <w:r>
        <w:rPr>
          <w:rFonts w:hint="eastAsia" w:ascii="仿宋" w:hAnsi="仿宋" w:eastAsia="仿宋" w:cs="仿宋"/>
          <w:sz w:val="32"/>
          <w:szCs w:val="28"/>
          <w:u w:val="single"/>
        </w:rPr>
        <w:t xml:space="preserve"> </w:t>
      </w:r>
      <w:r>
        <w:rPr>
          <w:rFonts w:ascii="仿宋" w:hAnsi="仿宋" w:eastAsia="仿宋" w:cs="仿宋"/>
          <w:sz w:val="32"/>
          <w:szCs w:val="28"/>
          <w:u w:val="single"/>
        </w:rPr>
        <w:t xml:space="preserve">                       </w:t>
      </w:r>
      <w:r>
        <w:rPr>
          <w:rFonts w:hint="eastAsia" w:ascii="仿宋" w:hAnsi="仿宋" w:eastAsia="仿宋" w:cs="仿宋"/>
          <w:sz w:val="32"/>
          <w:szCs w:val="28"/>
        </w:rPr>
        <w:t>（以下简称委托人）与</w:t>
      </w:r>
      <w:r>
        <w:rPr>
          <w:rFonts w:hint="eastAsia" w:ascii="仿宋" w:hAnsi="仿宋" w:eastAsia="仿宋" w:cs="仿宋"/>
          <w:sz w:val="32"/>
          <w:szCs w:val="28"/>
          <w:u w:val="single"/>
        </w:rPr>
        <w:t xml:space="preserve"> </w:t>
      </w:r>
      <w:r>
        <w:rPr>
          <w:rFonts w:ascii="仿宋" w:hAnsi="仿宋" w:eastAsia="仿宋" w:cs="仿宋"/>
          <w:sz w:val="32"/>
          <w:szCs w:val="28"/>
          <w:u w:val="single"/>
        </w:rPr>
        <w:t xml:space="preserve">               </w:t>
      </w:r>
      <w:r>
        <w:rPr>
          <w:rFonts w:hint="eastAsia" w:ascii="仿宋" w:hAnsi="仿宋" w:eastAsia="仿宋" w:cs="仿宋"/>
          <w:sz w:val="32"/>
          <w:szCs w:val="28"/>
        </w:rPr>
        <w:t>（以下简称被委托人）签订的《GeoEast软件产品经销协议》，现授权</w:t>
      </w:r>
      <w:r>
        <w:rPr>
          <w:rFonts w:ascii="仿宋" w:hAnsi="仿宋" w:eastAsia="仿宋" w:cs="仿宋"/>
          <w:sz w:val="32"/>
          <w:szCs w:val="28"/>
          <w:u w:val="single"/>
        </w:rPr>
        <w:t xml:space="preserve">        </w:t>
      </w:r>
      <w:r>
        <w:rPr>
          <w:rFonts w:hint="eastAsia" w:ascii="仿宋" w:hAnsi="仿宋" w:eastAsia="仿宋" w:cs="仿宋"/>
          <w:sz w:val="32"/>
          <w:szCs w:val="28"/>
        </w:rPr>
        <w:t>在</w:t>
      </w:r>
      <w:r>
        <w:rPr>
          <w:rFonts w:ascii="仿宋" w:hAnsi="仿宋" w:eastAsia="仿宋" w:cs="仿宋"/>
          <w:sz w:val="32"/>
          <w:szCs w:val="28"/>
          <w:u w:val="single"/>
        </w:rPr>
        <w:t xml:space="preserve">        </w:t>
      </w:r>
      <w:r>
        <w:rPr>
          <w:rFonts w:hint="eastAsia" w:ascii="仿宋" w:hAnsi="仿宋" w:eastAsia="仿宋" w:cs="仿宋"/>
          <w:sz w:val="32"/>
          <w:szCs w:val="28"/>
          <w:u w:val="single"/>
        </w:rPr>
        <w:t xml:space="preserve">        </w:t>
      </w:r>
    </w:p>
    <w:p>
      <w:pPr>
        <w:rPr>
          <w:rFonts w:ascii="仿宋" w:hAnsi="仿宋" w:eastAsia="仿宋" w:cs="仿宋"/>
          <w:sz w:val="32"/>
          <w:szCs w:val="28"/>
        </w:rPr>
      </w:pPr>
      <w:r>
        <w:rPr>
          <w:rFonts w:ascii="仿宋" w:hAnsi="仿宋" w:eastAsia="仿宋" w:cs="仿宋"/>
          <w:sz w:val="32"/>
          <w:szCs w:val="28"/>
          <w:u w:val="single"/>
        </w:rPr>
        <w:t xml:space="preserve">              项目</w:t>
      </w:r>
      <w:r>
        <w:rPr>
          <w:rFonts w:hint="eastAsia" w:ascii="仿宋" w:hAnsi="仿宋" w:eastAsia="仿宋" w:cs="仿宋"/>
          <w:sz w:val="32"/>
          <w:szCs w:val="28"/>
        </w:rPr>
        <w:t>中销售GeoEast软件产品。被委托人可以用“GeoEast软件产品经销商”的名义在本授权书约定的销售范围进行合法商业活动，且未经委托人书面同意，不得转移委托权。</w:t>
      </w:r>
    </w:p>
    <w:p>
      <w:pPr>
        <w:rPr>
          <w:rFonts w:ascii="仿宋" w:hAnsi="仿宋" w:eastAsia="仿宋" w:cs="仿宋"/>
          <w:sz w:val="32"/>
          <w:szCs w:val="28"/>
        </w:rPr>
      </w:pPr>
    </w:p>
    <w:p>
      <w:pPr>
        <w:rPr>
          <w:rFonts w:ascii="仿宋" w:hAnsi="仿宋" w:eastAsia="仿宋" w:cs="仿宋"/>
          <w:sz w:val="32"/>
          <w:szCs w:val="28"/>
        </w:rPr>
      </w:pPr>
      <w:r>
        <w:rPr>
          <w:rFonts w:hint="eastAsia" w:ascii="仿宋" w:hAnsi="仿宋" w:eastAsia="仿宋" w:cs="仿宋"/>
          <w:sz w:val="32"/>
          <w:szCs w:val="28"/>
        </w:rPr>
        <w:t xml:space="preserve">授权销售范围： </w:t>
      </w:r>
    </w:p>
    <w:p>
      <w:pPr>
        <w:rPr>
          <w:rFonts w:ascii="仿宋" w:hAnsi="仿宋" w:eastAsia="仿宋" w:cs="仿宋"/>
          <w:sz w:val="32"/>
          <w:szCs w:val="28"/>
        </w:rPr>
      </w:pPr>
      <w:r>
        <w:rPr>
          <w:rFonts w:hint="eastAsia" w:ascii="仿宋" w:hAnsi="仿宋" w:eastAsia="仿宋" w:cs="仿宋"/>
          <w:sz w:val="32"/>
          <w:szCs w:val="28"/>
        </w:rPr>
        <w:t xml:space="preserve">授权有效时间： </w:t>
      </w:r>
    </w:p>
    <w:p>
      <w:pPr>
        <w:rPr>
          <w:rFonts w:ascii="仿宋" w:hAnsi="仿宋" w:eastAsia="仿宋" w:cs="仿宋"/>
          <w:sz w:val="32"/>
          <w:szCs w:val="28"/>
        </w:rPr>
      </w:pPr>
    </w:p>
    <w:p>
      <w:pPr>
        <w:jc w:val="center"/>
        <w:rPr>
          <w:rFonts w:ascii="仿宋" w:hAnsi="仿宋" w:eastAsia="仿宋" w:cs="仿宋"/>
          <w:sz w:val="32"/>
          <w:szCs w:val="28"/>
        </w:rPr>
      </w:pPr>
    </w:p>
    <w:p>
      <w:pPr>
        <w:ind w:firstLine="2560" w:firstLineChars="800"/>
        <w:rPr>
          <w:rFonts w:ascii="仿宋" w:hAnsi="仿宋" w:eastAsia="仿宋" w:cs="仿宋"/>
          <w:sz w:val="32"/>
          <w:szCs w:val="28"/>
        </w:rPr>
      </w:pPr>
      <w:r>
        <w:rPr>
          <w:rFonts w:hint="eastAsia" w:ascii="仿宋" w:hAnsi="仿宋" w:eastAsia="仿宋" w:cs="仿宋"/>
          <w:sz w:val="32"/>
          <w:szCs w:val="28"/>
        </w:rPr>
        <w:t>委托人法人代表签字：</w:t>
      </w:r>
    </w:p>
    <w:p>
      <w:pPr>
        <w:ind w:firstLine="2560" w:firstLineChars="800"/>
        <w:rPr>
          <w:rFonts w:ascii="仿宋" w:hAnsi="仿宋" w:eastAsia="仿宋" w:cs="仿宋"/>
          <w:sz w:val="32"/>
          <w:szCs w:val="28"/>
        </w:rPr>
      </w:pPr>
      <w:r>
        <w:rPr>
          <w:rFonts w:hint="eastAsia" w:ascii="仿宋" w:hAnsi="仿宋" w:eastAsia="仿宋" w:cs="仿宋"/>
          <w:sz w:val="32"/>
          <w:szCs w:val="28"/>
        </w:rPr>
        <w:t>委托人名称（盖章）：</w:t>
      </w:r>
    </w:p>
    <w:p>
      <w:pPr>
        <w:ind w:right="640" w:firstLine="2560" w:firstLineChars="800"/>
        <w:rPr>
          <w:rFonts w:ascii="仿宋" w:hAnsi="仿宋" w:eastAsia="仿宋" w:cs="仿宋"/>
          <w:sz w:val="32"/>
          <w:szCs w:val="28"/>
        </w:rPr>
      </w:pPr>
      <w:r>
        <w:rPr>
          <w:rFonts w:hint="eastAsia" w:ascii="仿宋" w:hAnsi="仿宋" w:eastAsia="仿宋" w:cs="仿宋"/>
          <w:sz w:val="32"/>
          <w:szCs w:val="28"/>
        </w:rPr>
        <w:t>授权日期：      年     月     日</w:t>
      </w:r>
    </w:p>
    <w:p/>
    <w:p/>
    <w:p>
      <w:pPr>
        <w:ind w:firstLine="720" w:firstLineChars="300"/>
        <w:rPr>
          <w:sz w:val="24"/>
        </w:rPr>
      </w:pPr>
    </w:p>
    <w:p>
      <w:pPr>
        <w:pStyle w:val="11"/>
        <w:spacing w:after="0" w:line="240" w:lineRule="auto"/>
        <w:ind w:firstLine="0" w:firstLineChars="0"/>
      </w:pP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粗黑宋简体">
    <w:altName w:val="宋体"/>
    <w:panose1 w:val="02000000000000000000"/>
    <w:charset w:val="86"/>
    <w:family w:val="auto"/>
    <w:pitch w:val="default"/>
    <w:sig w:usb0="00000000" w:usb1="00000000" w:usb2="00000012"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方正黑体简体">
    <w:panose1 w:val="02000000000000000000"/>
    <w:charset w:val="86"/>
    <w:family w:val="auto"/>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 w:name="方正仿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both"/>
    </w:pPr>
  </w:p>
  <w:p>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both"/>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pPr>
      <w:pStyle w:val="1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9B4AE9"/>
    <w:multiLevelType w:val="singleLevel"/>
    <w:tmpl w:val="879B4AE9"/>
    <w:lvl w:ilvl="0" w:tentative="0">
      <w:start w:val="1"/>
      <w:numFmt w:val="decimal"/>
      <w:lvlText w:val="1.%1"/>
      <w:lvlJc w:val="left"/>
      <w:pPr>
        <w:tabs>
          <w:tab w:val="left" w:pos="210"/>
        </w:tabs>
        <w:ind w:left="0" w:firstLine="480"/>
      </w:pPr>
      <w:rPr>
        <w:rFonts w:hint="default"/>
      </w:rPr>
    </w:lvl>
  </w:abstractNum>
  <w:abstractNum w:abstractNumId="1">
    <w:nsid w:val="8EAF0125"/>
    <w:multiLevelType w:val="singleLevel"/>
    <w:tmpl w:val="8EAF0125"/>
    <w:lvl w:ilvl="0" w:tentative="0">
      <w:start w:val="1"/>
      <w:numFmt w:val="chineseCounting"/>
      <w:suff w:val="nothing"/>
      <w:lvlText w:val="%1、"/>
      <w:lvlJc w:val="left"/>
      <w:pPr>
        <w:ind w:left="0" w:firstLine="0"/>
      </w:pPr>
      <w:rPr>
        <w:rFonts w:hint="eastAsia"/>
      </w:rPr>
    </w:lvl>
  </w:abstractNum>
  <w:abstractNum w:abstractNumId="2">
    <w:nsid w:val="ADAF4318"/>
    <w:multiLevelType w:val="singleLevel"/>
    <w:tmpl w:val="ADAF4318"/>
    <w:lvl w:ilvl="0" w:tentative="0">
      <w:start w:val="1"/>
      <w:numFmt w:val="decimal"/>
      <w:suff w:val="nothing"/>
      <w:lvlText w:val="（%1）"/>
      <w:lvlJc w:val="left"/>
      <w:pPr>
        <w:ind w:left="0" w:firstLine="480"/>
      </w:pPr>
      <w:rPr>
        <w:rFonts w:hint="default"/>
      </w:rPr>
    </w:lvl>
  </w:abstractNum>
  <w:abstractNum w:abstractNumId="3">
    <w:nsid w:val="BFD4844B"/>
    <w:multiLevelType w:val="singleLevel"/>
    <w:tmpl w:val="BFD4844B"/>
    <w:lvl w:ilvl="0" w:tentative="0">
      <w:start w:val="1"/>
      <w:numFmt w:val="decimal"/>
      <w:lvlText w:val="10.%1"/>
      <w:lvlJc w:val="left"/>
      <w:pPr>
        <w:tabs>
          <w:tab w:val="left" w:pos="210"/>
        </w:tabs>
        <w:ind w:left="0" w:firstLine="480"/>
      </w:pPr>
      <w:rPr>
        <w:rFonts w:hint="default"/>
      </w:rPr>
    </w:lvl>
  </w:abstractNum>
  <w:abstractNum w:abstractNumId="4">
    <w:nsid w:val="BFD606B3"/>
    <w:multiLevelType w:val="singleLevel"/>
    <w:tmpl w:val="BFD606B3"/>
    <w:lvl w:ilvl="0" w:tentative="0">
      <w:start w:val="1"/>
      <w:numFmt w:val="decimal"/>
      <w:suff w:val="nothing"/>
      <w:lvlText w:val="（%1）"/>
      <w:lvlJc w:val="left"/>
      <w:pPr>
        <w:ind w:left="0" w:firstLine="480"/>
      </w:pPr>
      <w:rPr>
        <w:rFonts w:hint="default"/>
      </w:rPr>
    </w:lvl>
  </w:abstractNum>
  <w:abstractNum w:abstractNumId="5">
    <w:nsid w:val="C6AEF51C"/>
    <w:multiLevelType w:val="singleLevel"/>
    <w:tmpl w:val="C6AEF51C"/>
    <w:lvl w:ilvl="0" w:tentative="0">
      <w:start w:val="1"/>
      <w:numFmt w:val="decimal"/>
      <w:suff w:val="nothing"/>
      <w:lvlText w:val="（%1）"/>
      <w:lvlJc w:val="left"/>
      <w:pPr>
        <w:ind w:left="0" w:firstLine="480"/>
      </w:pPr>
      <w:rPr>
        <w:rFonts w:hint="default"/>
      </w:rPr>
    </w:lvl>
  </w:abstractNum>
  <w:abstractNum w:abstractNumId="6">
    <w:nsid w:val="CECFEB54"/>
    <w:multiLevelType w:val="singleLevel"/>
    <w:tmpl w:val="CECFEB54"/>
    <w:lvl w:ilvl="0" w:tentative="0">
      <w:start w:val="1"/>
      <w:numFmt w:val="decimal"/>
      <w:lvlText w:val="6.%1"/>
      <w:lvlJc w:val="left"/>
      <w:pPr>
        <w:tabs>
          <w:tab w:val="left" w:pos="210"/>
        </w:tabs>
        <w:ind w:left="0" w:firstLine="480"/>
      </w:pPr>
      <w:rPr>
        <w:rFonts w:hint="default"/>
      </w:rPr>
    </w:lvl>
  </w:abstractNum>
  <w:abstractNum w:abstractNumId="7">
    <w:nsid w:val="D9DF30AA"/>
    <w:multiLevelType w:val="singleLevel"/>
    <w:tmpl w:val="D9DF30AA"/>
    <w:lvl w:ilvl="0" w:tentative="0">
      <w:start w:val="1"/>
      <w:numFmt w:val="decimal"/>
      <w:lvlText w:val="3.%1"/>
      <w:lvlJc w:val="left"/>
      <w:pPr>
        <w:tabs>
          <w:tab w:val="left" w:pos="210"/>
        </w:tabs>
        <w:ind w:left="0" w:firstLine="0"/>
      </w:pPr>
      <w:rPr>
        <w:rFonts w:hint="default"/>
      </w:rPr>
    </w:lvl>
  </w:abstractNum>
  <w:abstractNum w:abstractNumId="8">
    <w:nsid w:val="EDCE6342"/>
    <w:multiLevelType w:val="singleLevel"/>
    <w:tmpl w:val="EDCE6342"/>
    <w:lvl w:ilvl="0" w:tentative="0">
      <w:start w:val="1"/>
      <w:numFmt w:val="decimal"/>
      <w:lvlText w:val="11.%1"/>
      <w:lvlJc w:val="left"/>
      <w:pPr>
        <w:tabs>
          <w:tab w:val="left" w:pos="210"/>
        </w:tabs>
        <w:ind w:left="0" w:firstLine="480"/>
      </w:pPr>
      <w:rPr>
        <w:rFonts w:hint="default"/>
      </w:rPr>
    </w:lvl>
  </w:abstractNum>
  <w:abstractNum w:abstractNumId="9">
    <w:nsid w:val="F3EFC828"/>
    <w:multiLevelType w:val="singleLevel"/>
    <w:tmpl w:val="F3EFC828"/>
    <w:lvl w:ilvl="0" w:tentative="0">
      <w:start w:val="1"/>
      <w:numFmt w:val="decimal"/>
      <w:lvlText w:val="2.%1"/>
      <w:lvlJc w:val="left"/>
      <w:pPr>
        <w:tabs>
          <w:tab w:val="left" w:pos="210"/>
        </w:tabs>
        <w:ind w:left="0" w:firstLine="480"/>
      </w:pPr>
      <w:rPr>
        <w:rFonts w:hint="default"/>
      </w:rPr>
    </w:lvl>
  </w:abstractNum>
  <w:abstractNum w:abstractNumId="10">
    <w:nsid w:val="F47FFEDF"/>
    <w:multiLevelType w:val="singleLevel"/>
    <w:tmpl w:val="F47FFEDF"/>
    <w:lvl w:ilvl="0" w:tentative="0">
      <w:start w:val="1"/>
      <w:numFmt w:val="decimal"/>
      <w:suff w:val="nothing"/>
      <w:lvlText w:val="（%1）"/>
      <w:lvlJc w:val="left"/>
      <w:pPr>
        <w:ind w:left="0" w:firstLine="480"/>
      </w:pPr>
      <w:rPr>
        <w:rFonts w:hint="default"/>
      </w:rPr>
    </w:lvl>
  </w:abstractNum>
  <w:abstractNum w:abstractNumId="11">
    <w:nsid w:val="FB9D39C1"/>
    <w:multiLevelType w:val="singleLevel"/>
    <w:tmpl w:val="FB9D39C1"/>
    <w:lvl w:ilvl="0" w:tentative="0">
      <w:start w:val="1"/>
      <w:numFmt w:val="decimal"/>
      <w:suff w:val="nothing"/>
      <w:lvlText w:val="（%1）"/>
      <w:lvlJc w:val="left"/>
      <w:pPr>
        <w:ind w:left="0" w:firstLine="480"/>
      </w:pPr>
      <w:rPr>
        <w:rFonts w:hint="default"/>
      </w:rPr>
    </w:lvl>
  </w:abstractNum>
  <w:abstractNum w:abstractNumId="12">
    <w:nsid w:val="FD6E94EF"/>
    <w:multiLevelType w:val="singleLevel"/>
    <w:tmpl w:val="FD6E94EF"/>
    <w:lvl w:ilvl="0" w:tentative="0">
      <w:start w:val="1"/>
      <w:numFmt w:val="decimal"/>
      <w:lvlText w:val="8.%1"/>
      <w:lvlJc w:val="left"/>
      <w:pPr>
        <w:tabs>
          <w:tab w:val="left" w:pos="210"/>
        </w:tabs>
        <w:ind w:left="0" w:firstLine="480"/>
      </w:pPr>
      <w:rPr>
        <w:rFonts w:hint="default"/>
      </w:rPr>
    </w:lvl>
  </w:abstractNum>
  <w:abstractNum w:abstractNumId="13">
    <w:nsid w:val="FD7C7140"/>
    <w:multiLevelType w:val="singleLevel"/>
    <w:tmpl w:val="FD7C7140"/>
    <w:lvl w:ilvl="0" w:tentative="0">
      <w:start w:val="1"/>
      <w:numFmt w:val="decimal"/>
      <w:lvlText w:val="3.2.%1"/>
      <w:lvlJc w:val="left"/>
      <w:pPr>
        <w:tabs>
          <w:tab w:val="left" w:pos="210"/>
        </w:tabs>
        <w:ind w:left="0" w:firstLine="0"/>
      </w:pPr>
      <w:rPr>
        <w:rFonts w:hint="default"/>
      </w:rPr>
    </w:lvl>
  </w:abstractNum>
  <w:abstractNum w:abstractNumId="14">
    <w:nsid w:val="FE6DD48E"/>
    <w:multiLevelType w:val="singleLevel"/>
    <w:tmpl w:val="FE6DD48E"/>
    <w:lvl w:ilvl="0" w:tentative="0">
      <w:start w:val="1"/>
      <w:numFmt w:val="decimal"/>
      <w:lvlText w:val="3.1.%1"/>
      <w:lvlJc w:val="left"/>
      <w:pPr>
        <w:tabs>
          <w:tab w:val="left" w:pos="210"/>
        </w:tabs>
        <w:ind w:left="0" w:firstLine="0"/>
      </w:pPr>
      <w:rPr>
        <w:rFonts w:hint="default"/>
      </w:rPr>
    </w:lvl>
  </w:abstractNum>
  <w:abstractNum w:abstractNumId="15">
    <w:nsid w:val="FF97AFF9"/>
    <w:multiLevelType w:val="singleLevel"/>
    <w:tmpl w:val="FF97AFF9"/>
    <w:lvl w:ilvl="0" w:tentative="0">
      <w:start w:val="1"/>
      <w:numFmt w:val="decimal"/>
      <w:lvlText w:val="7.%1"/>
      <w:lvlJc w:val="left"/>
      <w:pPr>
        <w:tabs>
          <w:tab w:val="left" w:pos="210"/>
        </w:tabs>
        <w:ind w:left="0" w:firstLine="480"/>
      </w:pPr>
      <w:rPr>
        <w:rFonts w:hint="default"/>
      </w:rPr>
    </w:lvl>
  </w:abstractNum>
  <w:abstractNum w:abstractNumId="16">
    <w:nsid w:val="FFCEBFA5"/>
    <w:multiLevelType w:val="singleLevel"/>
    <w:tmpl w:val="FFCEBFA5"/>
    <w:lvl w:ilvl="0" w:tentative="0">
      <w:start w:val="1"/>
      <w:numFmt w:val="decimal"/>
      <w:suff w:val="nothing"/>
      <w:lvlText w:val="（%1）"/>
      <w:lvlJc w:val="left"/>
      <w:pPr>
        <w:ind w:left="0" w:firstLine="480"/>
      </w:pPr>
      <w:rPr>
        <w:rFonts w:hint="default"/>
      </w:rPr>
    </w:lvl>
  </w:abstractNum>
  <w:abstractNum w:abstractNumId="17">
    <w:nsid w:val="2BD2ACD3"/>
    <w:multiLevelType w:val="singleLevel"/>
    <w:tmpl w:val="2BD2ACD3"/>
    <w:lvl w:ilvl="0" w:tentative="0">
      <w:start w:val="1"/>
      <w:numFmt w:val="decimal"/>
      <w:suff w:val="nothing"/>
      <w:lvlText w:val="（%1）"/>
      <w:lvlJc w:val="left"/>
      <w:pPr>
        <w:ind w:left="0" w:firstLine="480"/>
      </w:pPr>
      <w:rPr>
        <w:rFonts w:hint="default"/>
      </w:rPr>
    </w:lvl>
  </w:abstractNum>
  <w:abstractNum w:abstractNumId="18">
    <w:nsid w:val="3EDBF484"/>
    <w:multiLevelType w:val="singleLevel"/>
    <w:tmpl w:val="3EDBF484"/>
    <w:lvl w:ilvl="0" w:tentative="0">
      <w:start w:val="1"/>
      <w:numFmt w:val="decimal"/>
      <w:lvlText w:val="9.%1"/>
      <w:lvlJc w:val="left"/>
      <w:pPr>
        <w:tabs>
          <w:tab w:val="left" w:pos="210"/>
        </w:tabs>
        <w:ind w:left="0" w:firstLine="480"/>
      </w:pPr>
      <w:rPr>
        <w:rFonts w:hint="default"/>
      </w:rPr>
    </w:lvl>
  </w:abstractNum>
  <w:abstractNum w:abstractNumId="19">
    <w:nsid w:val="57BC7F27"/>
    <w:multiLevelType w:val="singleLevel"/>
    <w:tmpl w:val="57BC7F27"/>
    <w:lvl w:ilvl="0" w:tentative="0">
      <w:start w:val="1"/>
      <w:numFmt w:val="decimal"/>
      <w:lvlText w:val="5.%1"/>
      <w:lvlJc w:val="left"/>
      <w:pPr>
        <w:tabs>
          <w:tab w:val="left" w:pos="210"/>
        </w:tabs>
        <w:ind w:left="0" w:firstLine="480"/>
      </w:pPr>
      <w:rPr>
        <w:rFonts w:hint="default"/>
      </w:rPr>
    </w:lvl>
  </w:abstractNum>
  <w:abstractNum w:abstractNumId="20">
    <w:nsid w:val="5FDFA991"/>
    <w:multiLevelType w:val="singleLevel"/>
    <w:tmpl w:val="5FDFA991"/>
    <w:lvl w:ilvl="0" w:tentative="0">
      <w:start w:val="1"/>
      <w:numFmt w:val="decimal"/>
      <w:suff w:val="nothing"/>
      <w:lvlText w:val="（%1）"/>
      <w:lvlJc w:val="left"/>
      <w:pPr>
        <w:ind w:left="0" w:firstLine="480"/>
      </w:pPr>
      <w:rPr>
        <w:rFonts w:hint="default"/>
      </w:rPr>
    </w:lvl>
  </w:abstractNum>
  <w:abstractNum w:abstractNumId="21">
    <w:nsid w:val="7DAFE6F3"/>
    <w:multiLevelType w:val="singleLevel"/>
    <w:tmpl w:val="7DAFE6F3"/>
    <w:lvl w:ilvl="0" w:tentative="0">
      <w:start w:val="1"/>
      <w:numFmt w:val="decimal"/>
      <w:lvlText w:val="4.%1"/>
      <w:lvlJc w:val="left"/>
      <w:pPr>
        <w:tabs>
          <w:tab w:val="left" w:pos="210"/>
        </w:tabs>
        <w:ind w:left="0" w:firstLine="480"/>
      </w:pPr>
      <w:rPr>
        <w:rFonts w:hint="default"/>
      </w:rPr>
    </w:lvl>
  </w:abstractNum>
  <w:num w:numId="1">
    <w:abstractNumId w:val="1"/>
  </w:num>
  <w:num w:numId="2">
    <w:abstractNumId w:val="0"/>
  </w:num>
  <w:num w:numId="3">
    <w:abstractNumId w:val="9"/>
  </w:num>
  <w:num w:numId="4">
    <w:abstractNumId w:val="7"/>
  </w:num>
  <w:num w:numId="5">
    <w:abstractNumId w:val="14"/>
  </w:num>
  <w:num w:numId="6">
    <w:abstractNumId w:val="17"/>
  </w:num>
  <w:num w:numId="7">
    <w:abstractNumId w:val="11"/>
  </w:num>
  <w:num w:numId="8">
    <w:abstractNumId w:val="13"/>
  </w:num>
  <w:num w:numId="9">
    <w:abstractNumId w:val="4"/>
  </w:num>
  <w:num w:numId="10">
    <w:abstractNumId w:val="2"/>
  </w:num>
  <w:num w:numId="11">
    <w:abstractNumId w:val="21"/>
  </w:num>
  <w:num w:numId="12">
    <w:abstractNumId w:val="10"/>
  </w:num>
  <w:num w:numId="13">
    <w:abstractNumId w:val="19"/>
  </w:num>
  <w:num w:numId="14">
    <w:abstractNumId w:val="20"/>
  </w:num>
  <w:num w:numId="15">
    <w:abstractNumId w:val="6"/>
  </w:num>
  <w:num w:numId="16">
    <w:abstractNumId w:val="5"/>
  </w:num>
  <w:num w:numId="17">
    <w:abstractNumId w:val="16"/>
  </w:num>
  <w:num w:numId="18">
    <w:abstractNumId w:val="15"/>
  </w:num>
  <w:num w:numId="19">
    <w:abstractNumId w:val="12"/>
  </w:num>
  <w:num w:numId="20">
    <w:abstractNumId w:val="18"/>
  </w:num>
  <w:num w:numId="21">
    <w:abstractNumId w:val="3"/>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9EA5690"/>
    <w:rsid w:val="00520F30"/>
    <w:rsid w:val="00606FFA"/>
    <w:rsid w:val="00737529"/>
    <w:rsid w:val="00A724FB"/>
    <w:rsid w:val="00CC655E"/>
    <w:rsid w:val="00D21414"/>
    <w:rsid w:val="00D24037"/>
    <w:rsid w:val="00F351DF"/>
    <w:rsid w:val="00F93595"/>
    <w:rsid w:val="12F64452"/>
    <w:rsid w:val="1DD05722"/>
    <w:rsid w:val="1E56C573"/>
    <w:rsid w:val="2BCF21CE"/>
    <w:rsid w:val="2DD7564A"/>
    <w:rsid w:val="410D054B"/>
    <w:rsid w:val="58D34356"/>
    <w:rsid w:val="777D7463"/>
    <w:rsid w:val="B97BABF6"/>
    <w:rsid w:val="ECFF6925"/>
    <w:rsid w:val="F9EA56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0"/>
    <w:pPr>
      <w:widowControl w:val="0"/>
      <w:spacing w:before="240" w:after="120" w:line="360" w:lineRule="auto"/>
      <w:outlineLvl w:val="0"/>
    </w:pPr>
    <w:rPr>
      <w:rFonts w:ascii="宋体" w:hAnsi="宋体" w:eastAsia="宋体" w:cs="宋体"/>
      <w:b/>
      <w:bCs/>
      <w:kern w:val="44"/>
      <w:sz w:val="24"/>
      <w:szCs w:val="30"/>
      <w:lang w:val="en-US" w:eastAsia="zh-CN" w:bidi="ar-SA"/>
    </w:rPr>
  </w:style>
  <w:style w:type="paragraph" w:styleId="3">
    <w:name w:val="heading 2"/>
    <w:next w:val="1"/>
    <w:unhideWhenUsed/>
    <w:qFormat/>
    <w:uiPriority w:val="0"/>
    <w:pPr>
      <w:widowControl w:val="0"/>
      <w:spacing w:before="120" w:after="120" w:line="360" w:lineRule="auto"/>
      <w:outlineLvl w:val="1"/>
    </w:pPr>
    <w:rPr>
      <w:rFonts w:ascii="Times New Roman" w:hAnsi="Times New Roman" w:eastAsia="宋体" w:cs="Times New Roman"/>
      <w:b/>
      <w:sz w:val="24"/>
      <w:lang w:val="en-US" w:eastAsia="zh-CN" w:bidi="ar-SA"/>
    </w:rPr>
  </w:style>
  <w:style w:type="paragraph" w:styleId="4">
    <w:name w:val="heading 3"/>
    <w:next w:val="1"/>
    <w:unhideWhenUsed/>
    <w:qFormat/>
    <w:uiPriority w:val="0"/>
    <w:pPr>
      <w:widowControl w:val="0"/>
      <w:spacing w:after="120" w:line="300" w:lineRule="auto"/>
      <w:outlineLvl w:val="2"/>
    </w:pPr>
    <w:rPr>
      <w:rFonts w:ascii="Times New Roman" w:hAnsi="Times New Roman" w:eastAsia="宋体" w:cs="Times New Roman"/>
      <w:sz w:val="24"/>
      <w:lang w:val="en-US" w:eastAsia="zh-CN" w:bidi="ar-SA"/>
    </w:rPr>
  </w:style>
  <w:style w:type="paragraph" w:styleId="5">
    <w:name w:val="heading 4"/>
    <w:next w:val="1"/>
    <w:semiHidden/>
    <w:unhideWhenUsed/>
    <w:qFormat/>
    <w:uiPriority w:val="0"/>
    <w:pPr>
      <w:widowControl w:val="0"/>
      <w:spacing w:after="120" w:line="300" w:lineRule="auto"/>
      <w:outlineLvl w:val="3"/>
    </w:pPr>
    <w:rPr>
      <w:rFonts w:ascii="Times New Roman" w:hAnsi="Times New Roman" w:eastAsia="宋体" w:cs="Times New Roman"/>
      <w:sz w:val="24"/>
      <w:lang w:val="en-US" w:eastAsia="zh-CN" w:bidi="ar-SA"/>
    </w:rPr>
  </w:style>
  <w:style w:type="paragraph" w:styleId="6">
    <w:name w:val="heading 5"/>
    <w:next w:val="1"/>
    <w:semiHidden/>
    <w:unhideWhenUsed/>
    <w:qFormat/>
    <w:uiPriority w:val="0"/>
    <w:pPr>
      <w:spacing w:after="120" w:line="300" w:lineRule="auto"/>
      <w:outlineLvl w:val="4"/>
    </w:pPr>
    <w:rPr>
      <w:rFonts w:ascii="Times New Roman" w:hAnsi="Times New Roman" w:eastAsia="宋体" w:cs="Times New Roman"/>
      <w:sz w:val="24"/>
      <w:lang w:val="en-US" w:eastAsia="zh-CN" w:bidi="ar-SA"/>
    </w:rPr>
  </w:style>
  <w:style w:type="paragraph" w:styleId="7">
    <w:name w:val="heading 6"/>
    <w:next w:val="1"/>
    <w:semiHidden/>
    <w:unhideWhenUsed/>
    <w:qFormat/>
    <w:uiPriority w:val="0"/>
    <w:pPr>
      <w:spacing w:after="120" w:line="300" w:lineRule="auto"/>
      <w:outlineLvl w:val="5"/>
    </w:pPr>
    <w:rPr>
      <w:rFonts w:ascii="Times New Roman" w:hAnsi="Times New Roman" w:eastAsia="宋体" w:cs="Times New Roman"/>
      <w:sz w:val="24"/>
      <w:lang w:val="en-US" w:eastAsia="zh-CN" w:bidi="ar-SA"/>
    </w:rPr>
  </w:style>
  <w:style w:type="paragraph" w:styleId="8">
    <w:name w:val="heading 7"/>
    <w:next w:val="1"/>
    <w:semiHidden/>
    <w:unhideWhenUsed/>
    <w:qFormat/>
    <w:uiPriority w:val="0"/>
    <w:pPr>
      <w:spacing w:after="120" w:line="300" w:lineRule="auto"/>
      <w:outlineLvl w:val="6"/>
    </w:pPr>
    <w:rPr>
      <w:rFonts w:ascii="Times New Roman" w:hAnsi="Times New Roman" w:eastAsia="宋体" w:cs="Times New Roman"/>
      <w:sz w:val="24"/>
      <w:lang w:val="en-US" w:eastAsia="zh-CN" w:bidi="ar-SA"/>
    </w:rPr>
  </w:style>
  <w:style w:type="paragraph" w:styleId="9">
    <w:name w:val="heading 8"/>
    <w:next w:val="1"/>
    <w:semiHidden/>
    <w:unhideWhenUsed/>
    <w:qFormat/>
    <w:uiPriority w:val="0"/>
    <w:pPr>
      <w:spacing w:after="120" w:line="300" w:lineRule="auto"/>
      <w:outlineLvl w:val="7"/>
    </w:pPr>
    <w:rPr>
      <w:rFonts w:ascii="Times New Roman" w:hAnsi="Times New Roman" w:eastAsia="宋体" w:cs="Times New Roman"/>
      <w:sz w:val="24"/>
      <w:lang w:val="en-US" w:eastAsia="zh-CN" w:bidi="ar-SA"/>
    </w:rPr>
  </w:style>
  <w:style w:type="paragraph" w:styleId="10">
    <w:name w:val="heading 9"/>
    <w:next w:val="1"/>
    <w:semiHidden/>
    <w:unhideWhenUsed/>
    <w:qFormat/>
    <w:uiPriority w:val="0"/>
    <w:pPr>
      <w:spacing w:after="120" w:line="300" w:lineRule="auto"/>
      <w:outlineLvl w:val="8"/>
    </w:pPr>
    <w:rPr>
      <w:rFonts w:ascii="Times New Roman" w:hAnsi="Times New Roman" w:eastAsia="宋体" w:cs="Times New Roman"/>
      <w:sz w:val="24"/>
      <w:lang w:val="en-US" w:eastAsia="zh-CN" w:bidi="ar-SA"/>
    </w:rPr>
  </w:style>
  <w:style w:type="character" w:default="1" w:styleId="18">
    <w:name w:val="Default Paragraph Font"/>
    <w:semiHidden/>
    <w:unhideWhenUsed/>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Body Text"/>
    <w:qFormat/>
    <w:uiPriority w:val="0"/>
    <w:pPr>
      <w:spacing w:after="120" w:line="300" w:lineRule="auto"/>
      <w:ind w:firstLine="420" w:firstLineChars="200"/>
    </w:pPr>
    <w:rPr>
      <w:rFonts w:ascii="Times New Roman" w:hAnsi="Times New Roman" w:eastAsia="宋体" w:cs="Times New Roman"/>
      <w:sz w:val="24"/>
      <w:lang w:val="en-US" w:eastAsia="zh-CN" w:bidi="ar-SA"/>
    </w:rPr>
  </w:style>
  <w:style w:type="paragraph" w:styleId="12">
    <w:name w:val="footer"/>
    <w:basedOn w:val="1"/>
    <w:qFormat/>
    <w:uiPriority w:val="0"/>
    <w:pPr>
      <w:tabs>
        <w:tab w:val="center" w:pos="4153"/>
        <w:tab w:val="right" w:pos="8306"/>
      </w:tabs>
      <w:snapToGrid w:val="0"/>
      <w:jc w:val="left"/>
    </w:pPr>
    <w:rPr>
      <w:sz w:val="18"/>
      <w:szCs w:val="18"/>
    </w:rPr>
  </w:style>
  <w:style w:type="paragraph" w:styleId="13">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14">
    <w:name w:val="Subtitle"/>
    <w:qFormat/>
    <w:uiPriority w:val="0"/>
    <w:pPr>
      <w:widowControl w:val="0"/>
      <w:spacing w:before="120" w:after="240" w:line="360" w:lineRule="auto"/>
      <w:jc w:val="center"/>
    </w:pPr>
    <w:rPr>
      <w:rFonts w:ascii="Calibri" w:hAnsi="Calibri" w:eastAsia="宋体" w:cs="Times New Roman"/>
      <w:b/>
      <w:kern w:val="28"/>
      <w:sz w:val="24"/>
      <w:lang w:val="en-US" w:eastAsia="zh-CN" w:bidi="ar-SA"/>
    </w:rPr>
  </w:style>
  <w:style w:type="paragraph" w:styleId="15">
    <w:name w:val="Title"/>
    <w:qFormat/>
    <w:uiPriority w:val="0"/>
    <w:pPr>
      <w:widowControl w:val="0"/>
      <w:spacing w:line="360" w:lineRule="auto"/>
      <w:jc w:val="center"/>
    </w:pPr>
    <w:rPr>
      <w:rFonts w:ascii="Times New Roman" w:hAnsi="Times New Roman" w:eastAsia="黑体" w:cs="Times New Roman"/>
      <w:sz w:val="44"/>
      <w:lang w:val="en-US" w:eastAsia="zh-CN" w:bidi="ar-SA"/>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basedOn w:val="18"/>
    <w:qFormat/>
    <w:uiPriority w:val="0"/>
  </w:style>
  <w:style w:type="paragraph" w:customStyle="1" w:styleId="20">
    <w:name w:val="章节标题"/>
    <w:next w:val="1"/>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character" w:customStyle="1" w:styleId="21">
    <w:name w:val="页眉 字符"/>
    <w:basedOn w:val="18"/>
    <w:link w:val="13"/>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788</Words>
  <Characters>4495</Characters>
  <Lines>37</Lines>
  <Paragraphs>10</Paragraphs>
  <TotalTime>0</TotalTime>
  <ScaleCrop>false</ScaleCrop>
  <LinksUpToDate>false</LinksUpToDate>
  <CharactersWithSpaces>5273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2026-04-10T10:41:00Z</dcterms:created>
  <dc:creator>王红娜</dc:creator>
  <cp:lastModifiedBy> </cp:lastModifiedBy>
  <dcterms:modified xsi:type="dcterms:W3CDTF">2026-10-10T06:48:34Z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A3D3E92F62B0289B8EBED86914888FCB_43</vt:lpwstr>
  </property>
</Properties>
</file>